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9"/>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6982"/>
      <w:bookmarkStart w:id="3" w:name="_Toc527391761"/>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bookmarkStart w:id="4" w:name="_Toc18838"/>
      <w:bookmarkStart w:id="5" w:name="_Toc11805"/>
      <w:r>
        <w:rPr>
          <w:rFonts w:hint="eastAsia" w:ascii="方正大标宋简体" w:hAnsi="宋体-方正超大字符集" w:eastAsia="方正大标宋简体" w:cs="宋体-方正超大字符集"/>
          <w:b/>
          <w:bCs/>
          <w:color w:val="000000"/>
          <w:spacing w:val="-6"/>
          <w:kern w:val="0"/>
          <w:sz w:val="76"/>
          <w:szCs w:val="76"/>
          <w:lang w:val="en-US" w:eastAsia="zh-CN"/>
        </w:rPr>
        <w:t>传媒学院</w:t>
      </w:r>
      <w:r>
        <w:rPr>
          <w:rFonts w:hint="eastAsia" w:ascii="方正大标宋简体" w:hAnsi="宋体-方正超大字符集" w:eastAsia="方正大标宋简体" w:cs="宋体-方正超大字符集"/>
          <w:b/>
          <w:bCs/>
          <w:color w:val="000000"/>
          <w:spacing w:val="-6"/>
          <w:kern w:val="0"/>
          <w:sz w:val="76"/>
          <w:szCs w:val="76"/>
        </w:rPr>
        <w:t>研究生</w:t>
      </w:r>
      <w:bookmarkEnd w:id="0"/>
      <w:bookmarkEnd w:id="1"/>
      <w:bookmarkStart w:id="6" w:name="_Toc11832"/>
      <w:bookmarkStart w:id="7" w:name="_Toc23974"/>
      <w:r>
        <w:rPr>
          <w:rFonts w:hint="eastAsia" w:ascii="方正大标宋简体" w:hAnsi="宋体-方正超大字符集" w:eastAsia="方正大标宋简体" w:cs="宋体-方正超大字符集"/>
          <w:b/>
          <w:bCs/>
          <w:color w:val="000000"/>
          <w:spacing w:val="-6"/>
          <w:kern w:val="0"/>
          <w:sz w:val="76"/>
          <w:szCs w:val="76"/>
        </w:rPr>
        <w:t>培养方</w:t>
      </w:r>
      <w:bookmarkEnd w:id="6"/>
      <w:bookmarkEnd w:id="7"/>
      <w:r>
        <w:rPr>
          <w:rFonts w:hint="eastAsia" w:ascii="方正大标宋简体" w:hAnsi="宋体-方正超大字符集" w:eastAsia="方正大标宋简体" w:cs="宋体-方正超大字符集"/>
          <w:b/>
          <w:bCs/>
          <w:color w:val="000000"/>
          <w:spacing w:val="-6"/>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182"/>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720" w:num="1"/>
          <w:docGrid w:type="lines" w:linePitch="312" w:charSpace="0"/>
        </w:sectPr>
      </w:pPr>
    </w:p>
    <w:p>
      <w:pPr>
        <w:tabs>
          <w:tab w:val="right" w:leader="dot" w:pos="8788"/>
        </w:tabs>
        <w:spacing w:before="120" w:beforeLines="50" w:after="240" w:afterLines="100" w:line="560" w:lineRule="exact"/>
        <w:jc w:val="center"/>
        <w:outlineLvl w:val="0"/>
      </w:pPr>
      <w:bookmarkStart w:id="10" w:name="_Toc527391762"/>
      <w:bookmarkStart w:id="11" w:name="_Toc527396983"/>
      <w:bookmarkStart w:id="12" w:name="_Toc3758"/>
      <w:bookmarkStart w:id="13" w:name="_Toc527397093"/>
      <w:r>
        <w:rPr>
          <w:rFonts w:hint="eastAsia" w:ascii="华文中宋" w:hAnsi="华文中宋" w:eastAsia="华文中宋" w:cs="华文中宋"/>
          <w:b/>
          <w:bCs/>
          <w:color w:val="000000"/>
          <w:kern w:val="0"/>
          <w:sz w:val="36"/>
          <w:szCs w:val="36"/>
        </w:rPr>
        <w:t>目 录</w:t>
      </w:r>
      <w:bookmarkEnd w:id="10"/>
      <w:bookmarkEnd w:id="11"/>
      <w:bookmarkEnd w:id="12"/>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_Toc12775 </w:instrText>
      </w:r>
      <w:r>
        <w:rPr>
          <w:rFonts w:hint="eastAsia" w:ascii="仿宋" w:hAnsi="仿宋" w:eastAsia="仿宋" w:cs="仿宋"/>
          <w:sz w:val="30"/>
          <w:szCs w:val="30"/>
        </w:rPr>
        <w:fldChar w:fldCharType="separate"/>
      </w:r>
      <w:r>
        <w:rPr>
          <w:rFonts w:hint="eastAsia" w:ascii="仿宋" w:hAnsi="仿宋" w:eastAsia="仿宋" w:cs="仿宋"/>
          <w:sz w:val="30"/>
          <w:szCs w:val="30"/>
        </w:rPr>
        <w:t>中国史（文化与传播）学术学位博士研究生培养方案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_Toc12775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_Toc1416 </w:instrText>
      </w:r>
      <w:r>
        <w:rPr>
          <w:rFonts w:hint="eastAsia" w:ascii="仿宋" w:hAnsi="仿宋" w:eastAsia="仿宋" w:cs="仿宋"/>
          <w:sz w:val="30"/>
          <w:szCs w:val="30"/>
        </w:rPr>
        <w:fldChar w:fldCharType="separate"/>
      </w:r>
      <w:r>
        <w:rPr>
          <w:rFonts w:hint="eastAsia" w:ascii="仿宋" w:hAnsi="仿宋" w:eastAsia="仿宋" w:cs="仿宋"/>
          <w:sz w:val="30"/>
          <w:szCs w:val="30"/>
        </w:rPr>
        <w:t>戏剧与影视学学术学位硕士研究生培养方案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_Toc1416 </w:instrText>
      </w:r>
      <w:r>
        <w:rPr>
          <w:rFonts w:hint="eastAsia" w:ascii="仿宋" w:hAnsi="仿宋" w:eastAsia="仿宋" w:cs="仿宋"/>
          <w:sz w:val="30"/>
          <w:szCs w:val="30"/>
        </w:rPr>
        <w:fldChar w:fldCharType="separate"/>
      </w:r>
      <w:r>
        <w:rPr>
          <w:rFonts w:hint="eastAsia" w:ascii="仿宋" w:hAnsi="仿宋" w:eastAsia="仿宋" w:cs="仿宋"/>
          <w:sz w:val="30"/>
          <w:szCs w:val="30"/>
        </w:rPr>
        <w:t>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_Toc9395 </w:instrText>
      </w:r>
      <w:r>
        <w:rPr>
          <w:rFonts w:hint="eastAsia" w:ascii="仿宋" w:hAnsi="仿宋" w:eastAsia="仿宋" w:cs="仿宋"/>
          <w:sz w:val="30"/>
          <w:szCs w:val="30"/>
        </w:rPr>
        <w:fldChar w:fldCharType="separate"/>
      </w:r>
      <w:r>
        <w:rPr>
          <w:rFonts w:hint="eastAsia" w:ascii="仿宋" w:hAnsi="仿宋" w:eastAsia="仿宋" w:cs="仿宋"/>
          <w:sz w:val="30"/>
          <w:szCs w:val="30"/>
        </w:rPr>
        <w:t>艺术硕士（广播电视）专业学位研究生培养方案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_Toc9395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pgSz w:w="11906" w:h="16838"/>
          <w:pgMar w:top="1701" w:right="1474" w:bottom="1418" w:left="1418" w:header="1191" w:footer="1021" w:gutter="0"/>
          <w:cols w:space="0" w:num="1"/>
          <w:docGrid w:linePitch="312" w:charSpace="0"/>
        </w:sectPr>
      </w:pPr>
      <w:r>
        <w:rPr>
          <w:rFonts w:hint="eastAsia"/>
          <w:color w:val="000000" w:themeColor="text1"/>
          <w14:textFill>
            <w14:solidFill>
              <w14:schemeClr w14:val="tx1"/>
            </w14:solidFill>
          </w14:textFill>
        </w:rPr>
        <w:fldChar w:fldCharType="end"/>
      </w:r>
      <w:bookmarkStart w:id="104" w:name="_GoBack"/>
    </w:p>
    <w:bookmarkEnd w:id="104"/>
    <w:p>
      <w:pPr>
        <w:pStyle w:val="2"/>
        <w:spacing w:before="120"/>
        <w:rPr>
          <w:color w:val="000000" w:themeColor="text1"/>
          <w14:textFill>
            <w14:solidFill>
              <w14:schemeClr w14:val="tx1"/>
            </w14:solidFill>
          </w14:textFill>
        </w:rPr>
      </w:pPr>
      <w:bookmarkStart w:id="14" w:name="_Toc12775"/>
      <w:r>
        <w:rPr>
          <w:rFonts w:hint="eastAsia"/>
          <w:color w:val="000000" w:themeColor="text1"/>
          <w14:textFill>
            <w14:solidFill>
              <w14:schemeClr w14:val="tx1"/>
            </w14:solidFill>
          </w14:textFill>
        </w:rPr>
        <w:t>中国史（文化与传播）学术学位博士研究生培养方案</w:t>
      </w:r>
      <w:bookmarkEnd w:id="13"/>
      <w:bookmarkEnd w:id="14"/>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bookmarkStart w:id="15" w:name="_Toc15"/>
      <w:bookmarkStart w:id="16" w:name="_Toc2457"/>
      <w:bookmarkStart w:id="17" w:name="_Toc516560211"/>
      <w:bookmarkStart w:id="18" w:name="_Toc9275"/>
      <w:r>
        <w:rPr>
          <w:rFonts w:hint="eastAsia" w:ascii="楷体_GB2312" w:hAnsi="楷体_GB2312" w:eastAsia="楷体_GB2312" w:cs="楷体_GB2312"/>
          <w:color w:val="000000" w:themeColor="text1"/>
          <w:sz w:val="24"/>
          <w14:textFill>
            <w14:solidFill>
              <w14:schemeClr w14:val="tx1"/>
            </w14:solidFill>
          </w14:textFill>
        </w:rPr>
        <w:t>（学科或专业代码：060200）</w:t>
      </w:r>
      <w:bookmarkEnd w:id="15"/>
      <w:bookmarkEnd w:id="16"/>
      <w:bookmarkEnd w:id="17"/>
      <w:bookmarkEnd w:id="18"/>
    </w:p>
    <w:p>
      <w:pPr>
        <w:spacing w:line="500" w:lineRule="exact"/>
        <w:ind w:firstLine="480" w:firstLineChars="200"/>
        <w:rPr>
          <w:rFonts w:ascii="黑体" w:hAnsi="黑体" w:eastAsia="黑体" w:cs="黑体"/>
          <w:color w:val="000000" w:themeColor="text1"/>
          <w:sz w:val="24"/>
          <w14:textFill>
            <w14:solidFill>
              <w14:schemeClr w14:val="tx1"/>
            </w14:solidFill>
          </w14:textFill>
        </w:rPr>
      </w:pPr>
      <w:bookmarkStart w:id="19" w:name="_Toc7865"/>
      <w:bookmarkStart w:id="20" w:name="_Toc28853"/>
      <w:bookmarkStart w:id="21" w:name="_Toc516560212"/>
      <w:bookmarkStart w:id="22" w:name="_Toc516560798"/>
      <w:bookmarkStart w:id="23" w:name="_Toc27425"/>
      <w:bookmarkStart w:id="24" w:name="_Toc20783"/>
      <w:bookmarkStart w:id="25" w:name="_Toc10516"/>
      <w:bookmarkStart w:id="26" w:name="_Toc22056"/>
      <w:bookmarkStart w:id="27" w:name="_Toc8097"/>
      <w:bookmarkStart w:id="28" w:name="_Toc18374"/>
      <w:bookmarkStart w:id="29" w:name="_Toc20866"/>
      <w:r>
        <w:rPr>
          <w:rFonts w:hint="eastAsia" w:ascii="黑体" w:hAnsi="黑体" w:eastAsia="黑体" w:cs="黑体"/>
          <w:color w:val="000000" w:themeColor="text1"/>
          <w:sz w:val="24"/>
          <w14:textFill>
            <w14:solidFill>
              <w14:schemeClr w14:val="tx1"/>
            </w14:solidFill>
          </w14:textFill>
        </w:rPr>
        <w:t>一、培养目标</w:t>
      </w:r>
      <w:bookmarkEnd w:id="19"/>
      <w:bookmarkEnd w:id="20"/>
      <w:bookmarkEnd w:id="21"/>
      <w:bookmarkEnd w:id="22"/>
      <w:bookmarkEnd w:id="23"/>
      <w:bookmarkEnd w:id="24"/>
      <w:bookmarkEnd w:id="25"/>
      <w:bookmarkEnd w:id="26"/>
      <w:bookmarkEnd w:id="27"/>
      <w:bookmarkEnd w:id="28"/>
      <w:bookmarkEnd w:id="29"/>
    </w:p>
    <w:p>
      <w:pPr>
        <w:spacing w:line="5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本学科所培养的博士生必须较好地掌握马克思主义的基本原理，热爱祖国，遵纪守法，品德良好，学风严谨，具有较强的事业心和献身精神，积极为弘扬祖国优秀文化传统、增强民族自信心、建设社会主义精神文明而努力工作。</w:t>
      </w:r>
    </w:p>
    <w:p>
      <w:pPr>
        <w:spacing w:line="5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2.具有坚实宽广的文化与传播专业的基础理论，熟悉本学科的历史、现状和发展趋势，具有独立从事科学研究和学科教学的能力，在此基础上能够对本学科特定的问题进行专门研究。</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3.至少掌握一门外国语，能比较熟练地阅读本专业的外文图书资料和进行国际学术交流，并能熟练地进行计算机操作。</w:t>
      </w:r>
    </w:p>
    <w:p>
      <w:pPr>
        <w:spacing w:line="500" w:lineRule="exact"/>
        <w:ind w:firstLine="480" w:firstLineChars="200"/>
        <w:rPr>
          <w:rFonts w:ascii="黑体" w:hAnsi="黑体" w:eastAsia="黑体" w:cs="黑体"/>
          <w:color w:val="000000" w:themeColor="text1"/>
          <w:sz w:val="24"/>
          <w14:textFill>
            <w14:solidFill>
              <w14:schemeClr w14:val="tx1"/>
            </w14:solidFill>
          </w14:textFill>
        </w:rPr>
      </w:pPr>
      <w:bookmarkStart w:id="30" w:name="_Toc24749"/>
      <w:bookmarkStart w:id="31" w:name="_Toc22594"/>
      <w:bookmarkStart w:id="32" w:name="_Toc516560799"/>
      <w:bookmarkStart w:id="33" w:name="_Toc24667"/>
      <w:bookmarkStart w:id="34" w:name="_Toc23635"/>
      <w:bookmarkStart w:id="35" w:name="_Toc10054"/>
      <w:bookmarkStart w:id="36" w:name="_Toc26046"/>
      <w:bookmarkStart w:id="37" w:name="_Toc4002"/>
      <w:bookmarkStart w:id="38" w:name="_Toc10266"/>
      <w:bookmarkStart w:id="39" w:name="_Toc516560213"/>
      <w:bookmarkStart w:id="40" w:name="_Toc18606"/>
      <w:r>
        <w:rPr>
          <w:rFonts w:hint="eastAsia" w:ascii="黑体" w:hAnsi="黑体" w:eastAsia="黑体" w:cs="黑体"/>
          <w:color w:val="000000" w:themeColor="text1"/>
          <w:sz w:val="24"/>
          <w14:textFill>
            <w14:solidFill>
              <w14:schemeClr w14:val="tx1"/>
            </w14:solidFill>
          </w14:textFill>
        </w:rPr>
        <w:t>二、生源要求和选拨方式</w:t>
      </w:r>
      <w:bookmarkEnd w:id="30"/>
      <w:bookmarkEnd w:id="31"/>
      <w:bookmarkEnd w:id="32"/>
      <w:bookmarkEnd w:id="33"/>
      <w:bookmarkEnd w:id="34"/>
      <w:bookmarkEnd w:id="35"/>
      <w:bookmarkEnd w:id="36"/>
      <w:bookmarkEnd w:id="37"/>
      <w:bookmarkEnd w:id="38"/>
      <w:bookmarkEnd w:id="39"/>
      <w:bookmarkEnd w:id="40"/>
    </w:p>
    <w:p>
      <w:pPr>
        <w:spacing w:line="500" w:lineRule="exact"/>
        <w:ind w:firstLine="573"/>
        <w:rPr>
          <w:rFonts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pacing w:val="-6"/>
          <w:sz w:val="24"/>
          <w14:textFill>
            <w14:solidFill>
              <w14:schemeClr w14:val="tx1"/>
            </w14:solidFill>
          </w14:textFill>
        </w:rPr>
        <w:t>1.拥护中国共产党的领导，品德良好，遵纪守法，愿意为社会主义现代化建设服务。</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2.考生的学位必须符合下列条件之一(凡在境外获得学位者，须有教育部留学服务中心的学历学位认证报告，下同）：</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(1)已获得硕士、博士学位的人员；</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(2)全日制应届硕士毕业生(指通过每年1月全国研究生统一入学考试录取的在校硕士研究生)最迟须在入学前取得硕士学位；</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(3)非全日制研究生(含同等学力申请硕士学位)者必须在考试前获得硕士学位，才能以硕士身份报考。否则只能以同等学力身份报考(还必须达到同等学力报考条件)。</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(4)获得学士学位6年及以上并达到与硕士毕业生同等学力的人员；</w:t>
      </w:r>
    </w:p>
    <w:p>
      <w:pPr>
        <w:spacing w:line="500" w:lineRule="exact"/>
        <w:ind w:firstLine="573"/>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3.身体健康状况，符合规定的体检要求。</w:t>
      </w:r>
    </w:p>
    <w:p>
      <w:pPr>
        <w:spacing w:line="500" w:lineRule="exact"/>
        <w:ind w:firstLine="480" w:firstLineChars="200"/>
        <w:rPr>
          <w:rFonts w:ascii="黑体" w:hAnsi="黑体" w:eastAsia="黑体" w:cs="黑体"/>
          <w:color w:val="000000" w:themeColor="text1"/>
          <w:sz w:val="24"/>
          <w14:textFill>
            <w14:solidFill>
              <w14:schemeClr w14:val="tx1"/>
            </w14:solidFill>
          </w14:textFill>
        </w:rPr>
      </w:pPr>
      <w:bookmarkStart w:id="41" w:name="_Toc516560214"/>
      <w:bookmarkStart w:id="42" w:name="_Toc12283"/>
      <w:bookmarkStart w:id="43" w:name="_Toc4462"/>
      <w:bookmarkStart w:id="44" w:name="_Toc16358"/>
      <w:bookmarkStart w:id="45" w:name="_Toc24995"/>
      <w:bookmarkStart w:id="46" w:name="_Toc13575"/>
      <w:bookmarkStart w:id="47" w:name="_Toc5509"/>
      <w:bookmarkStart w:id="48" w:name="_Toc516560800"/>
      <w:bookmarkStart w:id="49" w:name="_Toc16544"/>
      <w:bookmarkStart w:id="50" w:name="_Toc5021"/>
      <w:bookmarkStart w:id="51" w:name="_Toc25623"/>
      <w:r>
        <w:rPr>
          <w:rFonts w:hint="eastAsia" w:ascii="黑体" w:hAnsi="黑体" w:eastAsia="黑体" w:cs="黑体"/>
          <w:color w:val="000000" w:themeColor="text1"/>
          <w:sz w:val="24"/>
          <w14:textFill>
            <w14:solidFill>
              <w14:schemeClr w14:val="tx1"/>
            </w14:solidFill>
          </w14:textFill>
        </w:rPr>
        <w:t>三、学习年限及应修学分</w:t>
      </w:r>
      <w:bookmarkEnd w:id="41"/>
      <w:bookmarkEnd w:id="42"/>
      <w:bookmarkEnd w:id="43"/>
      <w:bookmarkEnd w:id="44"/>
      <w:bookmarkEnd w:id="45"/>
      <w:bookmarkEnd w:id="46"/>
      <w:bookmarkEnd w:id="47"/>
      <w:bookmarkEnd w:id="48"/>
      <w:bookmarkEnd w:id="49"/>
      <w:bookmarkEnd w:id="50"/>
      <w:bookmarkEnd w:id="51"/>
    </w:p>
    <w:p>
      <w:pPr>
        <w:spacing w:line="5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全日制博士研究生基本学制3年，在职博士研究生基本学制4年。最长学习年限6年。博士研究生在规定的学制内原则上不允许提前毕业。</w:t>
      </w:r>
    </w:p>
    <w:p>
      <w:pPr>
        <w:spacing w:line="5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在读期间须修满不少于22学分，其中课程学习20学分，其它培养环节2学分。</w:t>
      </w:r>
    </w:p>
    <w:p>
      <w:pPr>
        <w:spacing w:line="500" w:lineRule="exact"/>
        <w:ind w:firstLine="480" w:firstLineChars="200"/>
        <w:rPr>
          <w:rFonts w:ascii="黑体" w:hAnsi="黑体" w:eastAsia="黑体" w:cs="黑体"/>
          <w:color w:val="000000" w:themeColor="text1"/>
          <w:sz w:val="24"/>
          <w14:textFill>
            <w14:solidFill>
              <w14:schemeClr w14:val="tx1"/>
            </w14:solidFill>
          </w14:textFill>
        </w:rPr>
      </w:pPr>
      <w:bookmarkStart w:id="52" w:name="_Toc21224"/>
      <w:bookmarkStart w:id="53" w:name="_Toc20626"/>
      <w:bookmarkStart w:id="54" w:name="_Toc28332"/>
      <w:bookmarkStart w:id="55" w:name="_Toc15244"/>
      <w:bookmarkStart w:id="56" w:name="_Toc10592"/>
      <w:bookmarkStart w:id="57" w:name="_Toc13170"/>
      <w:bookmarkStart w:id="58" w:name="_Toc30253"/>
      <w:bookmarkStart w:id="59" w:name="_Toc13284"/>
      <w:bookmarkStart w:id="60" w:name="_Toc516560801"/>
      <w:bookmarkStart w:id="61" w:name="_Toc516560215"/>
      <w:bookmarkStart w:id="62" w:name="_Toc32038"/>
      <w:r>
        <w:rPr>
          <w:rFonts w:hint="eastAsia" w:ascii="黑体" w:hAnsi="黑体" w:eastAsia="黑体" w:cs="黑体"/>
          <w:color w:val="000000" w:themeColor="text1"/>
          <w:sz w:val="24"/>
          <w14:textFill>
            <w14:solidFill>
              <w14:schemeClr w14:val="tx1"/>
            </w14:solidFill>
          </w14:textFill>
        </w:rPr>
        <w:t>四、课程设置</w:t>
      </w:r>
      <w:bookmarkEnd w:id="52"/>
      <w:bookmarkEnd w:id="53"/>
      <w:r>
        <w:rPr>
          <w:rFonts w:hint="eastAsia" w:ascii="黑体" w:hAnsi="黑体" w:eastAsia="黑体" w:cs="黑体"/>
          <w:color w:val="000000" w:themeColor="text1"/>
          <w:sz w:val="24"/>
          <w14:textFill>
            <w14:solidFill>
              <w14:schemeClr w14:val="tx1"/>
            </w14:solidFill>
          </w14:textFill>
        </w:rPr>
        <w:t>及教学计划</w:t>
      </w:r>
      <w:r>
        <w:rPr>
          <w:rFonts w:hint="eastAsia" w:ascii="宋体" w:hAnsi="宋体" w:eastAsia="宋体" w:cs="宋体"/>
          <w:color w:val="000000" w:themeColor="text1"/>
          <w:sz w:val="24"/>
          <w14:textFill>
            <w14:solidFill>
              <w14:schemeClr w14:val="tx1"/>
            </w14:solidFill>
          </w14:textFill>
        </w:rPr>
        <w:t>（具体见课程设置与教学计划表）</w:t>
      </w:r>
      <w:bookmarkEnd w:id="54"/>
      <w:bookmarkEnd w:id="55"/>
      <w:bookmarkEnd w:id="56"/>
      <w:bookmarkEnd w:id="57"/>
      <w:bookmarkEnd w:id="58"/>
      <w:bookmarkEnd w:id="59"/>
      <w:bookmarkEnd w:id="60"/>
      <w:bookmarkEnd w:id="61"/>
      <w:bookmarkEnd w:id="62"/>
    </w:p>
    <w:p>
      <w:pPr>
        <w:spacing w:line="500" w:lineRule="exact"/>
        <w:ind w:firstLine="480" w:firstLineChars="200"/>
        <w:rPr>
          <w:rFonts w:ascii="黑体" w:hAnsi="黑体" w:eastAsia="黑体" w:cs="黑体"/>
          <w:color w:val="000000" w:themeColor="text1"/>
          <w:sz w:val="24"/>
          <w14:textFill>
            <w14:solidFill>
              <w14:schemeClr w14:val="tx1"/>
            </w14:solidFill>
          </w14:textFill>
        </w:rPr>
      </w:pPr>
      <w:bookmarkStart w:id="63" w:name="_Toc18428"/>
      <w:bookmarkStart w:id="64" w:name="_Toc1272"/>
      <w:bookmarkStart w:id="65" w:name="_Toc516560216"/>
      <w:bookmarkStart w:id="66" w:name="_Toc8837"/>
      <w:bookmarkStart w:id="67" w:name="_Toc15051"/>
      <w:bookmarkStart w:id="68" w:name="_Toc32736"/>
      <w:bookmarkStart w:id="69" w:name="_Toc22752"/>
      <w:bookmarkStart w:id="70" w:name="_Toc30197"/>
      <w:bookmarkStart w:id="71" w:name="_Toc13133"/>
      <w:bookmarkStart w:id="72" w:name="_Toc18101"/>
      <w:bookmarkStart w:id="73" w:name="_Toc516560802"/>
      <w:r>
        <w:rPr>
          <w:rFonts w:hint="eastAsia" w:ascii="黑体" w:hAnsi="黑体" w:eastAsia="黑体" w:cs="黑体"/>
          <w:color w:val="000000" w:themeColor="text1"/>
          <w:sz w:val="24"/>
          <w14:textFill>
            <w14:solidFill>
              <w14:schemeClr w14:val="tx1"/>
            </w14:solidFill>
          </w14:textFill>
        </w:rPr>
        <w:t>五、培养方式</w:t>
      </w:r>
      <w:bookmarkEnd w:id="63"/>
      <w:bookmarkEnd w:id="64"/>
      <w:bookmarkEnd w:id="65"/>
      <w:bookmarkEnd w:id="66"/>
      <w:bookmarkEnd w:id="67"/>
      <w:bookmarkEnd w:id="68"/>
      <w:bookmarkEnd w:id="69"/>
      <w:bookmarkEnd w:id="70"/>
      <w:bookmarkEnd w:id="71"/>
      <w:bookmarkEnd w:id="72"/>
      <w:bookmarkEnd w:id="73"/>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课堂教学。课堂教学方式可灵活多样，主要以教师讲授为主、课堂讨论等为辅。课堂教学主要在第一学年中进行。</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自修学习。在导师的指导下，为研究某一问题而展开，如搜集资料、研究相关的理论等。研究生须做读书笔记，导师定期检查。</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学术报告和参加学术会议。在读期间研究生应至少举行一次公开的学术报告，对自己所进行的研究作一细致介绍和讲解。至少参加一次学术会议，并提交学术论文。</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发表论文。研究生在读期间要按照学校要求并以西北师范大学博士研究生的名义发表一定数量的学术论文。</w:t>
      </w:r>
    </w:p>
    <w:p>
      <w:pPr>
        <w:spacing w:line="460" w:lineRule="exact"/>
        <w:ind w:firstLine="480" w:firstLineChars="200"/>
        <w:rPr>
          <w:rFonts w:ascii="黑体" w:hAnsi="黑体" w:eastAsia="黑体" w:cs="黑体"/>
          <w:color w:val="000000" w:themeColor="text1"/>
          <w:sz w:val="24"/>
          <w14:textFill>
            <w14:solidFill>
              <w14:schemeClr w14:val="tx1"/>
            </w14:solidFill>
          </w14:textFill>
        </w:rPr>
      </w:pPr>
      <w:bookmarkStart w:id="74" w:name="_Toc29534"/>
      <w:bookmarkStart w:id="75" w:name="_Toc16128"/>
      <w:bookmarkStart w:id="76" w:name="_Toc7632"/>
      <w:bookmarkStart w:id="77" w:name="_Toc516560803"/>
      <w:bookmarkStart w:id="78" w:name="_Toc4254"/>
      <w:bookmarkStart w:id="79" w:name="_Toc3378"/>
      <w:bookmarkStart w:id="80" w:name="_Toc22468"/>
      <w:bookmarkStart w:id="81" w:name="_Toc5126"/>
      <w:bookmarkStart w:id="82" w:name="_Toc12976"/>
      <w:bookmarkStart w:id="83" w:name="_Toc18359"/>
      <w:bookmarkStart w:id="84" w:name="_Toc516560217"/>
      <w:r>
        <w:rPr>
          <w:rFonts w:hint="eastAsia" w:ascii="黑体" w:hAnsi="黑体" w:eastAsia="黑体" w:cs="黑体"/>
          <w:color w:val="000000" w:themeColor="text1"/>
          <w:sz w:val="24"/>
          <w14:textFill>
            <w14:solidFill>
              <w14:schemeClr w14:val="tx1"/>
            </w14:solidFill>
          </w14:textFill>
        </w:rPr>
        <w:t>六、毕业（学位）论文</w:t>
      </w:r>
      <w:bookmarkEnd w:id="74"/>
      <w:bookmarkEnd w:id="75"/>
      <w:bookmarkEnd w:id="76"/>
      <w:bookmarkEnd w:id="77"/>
      <w:bookmarkEnd w:id="78"/>
      <w:bookmarkEnd w:id="79"/>
      <w:bookmarkEnd w:id="80"/>
      <w:bookmarkEnd w:id="81"/>
      <w:bookmarkEnd w:id="82"/>
      <w:bookmarkEnd w:id="83"/>
      <w:bookmarkEnd w:id="84"/>
    </w:p>
    <w:p>
      <w:pPr>
        <w:spacing w:line="480" w:lineRule="exact"/>
        <w:ind w:firstLine="480" w:firstLineChars="200"/>
        <w:rPr>
          <w:rFonts w:ascii="宋体" w:hAnsi="宋体" w:eastAsia="宋体" w:cs="宋体"/>
          <w:bCs/>
          <w:color w:val="000000" w:themeColor="text1"/>
          <w:spacing w:val="-6"/>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毕业（学位）论</w:t>
      </w:r>
      <w:r>
        <w:rPr>
          <w:rFonts w:hint="eastAsia" w:ascii="宋体" w:hAnsi="宋体" w:eastAsia="宋体" w:cs="宋体"/>
          <w:bCs/>
          <w:color w:val="000000" w:themeColor="text1"/>
          <w:spacing w:val="-6"/>
          <w:sz w:val="24"/>
          <w14:textFill>
            <w14:solidFill>
              <w14:schemeClr w14:val="tx1"/>
            </w14:solidFill>
          </w14:textFill>
        </w:rPr>
        <w:t>文在导师的指导下，由研究生独立完成。论文撰写时间不少于2年。</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毕业（学位）论文的选题，应在导师的指导下确定研究范围，进而确定论文题目；论文研究范围的确定时间要尽量提前，研究方向可根据学生现有的学习基础和研究兴趣进行选择，论文题目的确定须在第二学期末完成；论文的研究范围和题目应具有一定的学术理论价值，尽可能居于学术前沿；论文观点要新颖，富有创新性；论文撰写要遵守学术道德规范。</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毕业（学位）论文的开题报告在第三学期进行，开题报告中，博士研究生应对论文课题的研究历史与现状、研究方法、研究难点与重点、论文架构提纲以及参考书目作一详细说明。开题报告经评审专家审议通过后方可正式进入论文撰写阶段。</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毕业（学位）论文的撰写、修改以及最终定稿都须在导师的精心指导下进行，毕业（学位）论文的评审和答辩按照学校相关要求办理。</w:t>
      </w:r>
    </w:p>
    <w:p>
      <w:pPr>
        <w:spacing w:line="480" w:lineRule="exact"/>
        <w:ind w:firstLine="573"/>
        <w:rPr>
          <w:rFonts w:ascii="宋体" w:hAnsi="宋体" w:eastAsia="宋体" w:cs="宋体"/>
          <w:bCs/>
          <w:color w:val="000000" w:themeColor="text1"/>
          <w:sz w:val="24"/>
          <w14:textFill>
            <w14:solidFill>
              <w14:schemeClr w14:val="tx1"/>
            </w14:solidFill>
          </w14:textFill>
        </w:rPr>
      </w:pP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附件：中国史（文化与传播）学术学位博士研究生课程设置与教学计划表</w:t>
      </w:r>
    </w:p>
    <w:p>
      <w:pPr>
        <w:spacing w:line="380" w:lineRule="exac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br w:type="page"/>
      </w:r>
      <w:r>
        <w:rPr>
          <w:rFonts w:hint="eastAsia" w:ascii="宋体" w:hAnsi="宋体" w:eastAsia="宋体" w:cs="宋体"/>
          <w:bCs/>
          <w:color w:val="000000" w:themeColor="text1"/>
          <w:sz w:val="24"/>
          <w14:textFill>
            <w14:solidFill>
              <w14:schemeClr w14:val="tx1"/>
            </w14:solidFill>
          </w14:textFill>
        </w:rPr>
        <w:t>附件：</w:t>
      </w:r>
    </w:p>
    <w:p>
      <w:pPr>
        <w:spacing w:after="72" w:afterLines="30" w:line="52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中国史</w:t>
      </w:r>
      <w:r>
        <w:rPr>
          <w:rFonts w:hint="eastAsia" w:ascii="黑体" w:hAnsi="黑体" w:eastAsia="黑体" w:cs="黑体"/>
          <w:bCs/>
          <w:color w:val="000000" w:themeColor="text1"/>
          <w:spacing w:val="-6"/>
          <w:sz w:val="32"/>
          <w:szCs w:val="32"/>
          <w14:textFill>
            <w14:solidFill>
              <w14:schemeClr w14:val="tx1"/>
            </w14:solidFill>
          </w14:textFill>
        </w:rPr>
        <w:t>（文化与传播）学术学位博士研究生课程设置与教学计划表</w:t>
      </w:r>
    </w:p>
    <w:tbl>
      <w:tblPr>
        <w:tblStyle w:val="7"/>
        <w:tblW w:w="9696" w:type="dxa"/>
        <w:tblInd w:w="-176"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87"/>
        <w:gridCol w:w="945"/>
        <w:gridCol w:w="2805"/>
        <w:gridCol w:w="708"/>
        <w:gridCol w:w="708"/>
        <w:gridCol w:w="658"/>
        <w:gridCol w:w="618"/>
        <w:gridCol w:w="1717"/>
        <w:gridCol w:w="75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63" w:hRule="atLeast"/>
        </w:trPr>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代码</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6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D0051001</w:t>
            </w:r>
          </w:p>
        </w:tc>
        <w:tc>
          <w:tcPr>
            <w:tcW w:w="28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中国马克思主义与当代</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D0051002</w:t>
            </w:r>
          </w:p>
        </w:tc>
        <w:tc>
          <w:tcPr>
            <w:tcW w:w="28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马克思恩格斯列宁经典著作选读</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D0101222</w:t>
            </w:r>
          </w:p>
        </w:tc>
        <w:tc>
          <w:tcPr>
            <w:tcW w:w="28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D0223001</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中外影视理论前沿</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徐兆寿</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D0223002</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中外电影史研究专题</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任志明</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D0223006</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pacing w:val="-6"/>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丝绸之路与中国传统文化专题研究</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徐兆寿</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D0223004</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媒介文化研究</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  华</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D0223005</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影视美学</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李燕临</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选修课</w:t>
            </w: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D0224001</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历史文献专题研究</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李并成</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D0224012</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当代文化与批评</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杨光祖</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D0224003</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史学动态研究</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李并成</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D0224004</w:t>
            </w:r>
          </w:p>
        </w:tc>
        <w:tc>
          <w:tcPr>
            <w:tcW w:w="280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中西美学专题</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71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韩  伟</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D0007000</w:t>
            </w:r>
          </w:p>
        </w:tc>
        <w:tc>
          <w:tcPr>
            <w:tcW w:w="28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5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71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5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节</w:t>
            </w:r>
          </w:p>
        </w:tc>
        <w:tc>
          <w:tcPr>
            <w:tcW w:w="94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科研实践</w:t>
            </w:r>
          </w:p>
        </w:tc>
        <w:tc>
          <w:tcPr>
            <w:tcW w:w="7964" w:type="dxa"/>
            <w:gridSpan w:val="7"/>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参加国内外学术会议1次、公开作学术报告1次（1学分）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964" w:type="dxa"/>
            <w:gridSpan w:val="7"/>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选听学科前沿系列讲座1个(0.5学分)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4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964" w:type="dxa"/>
            <w:gridSpan w:val="7"/>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模拟撰写科研项目申请书1份(0.5学分)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trPr>
        <w:tc>
          <w:tcPr>
            <w:tcW w:w="78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909"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不低于22学分</w:t>
            </w:r>
          </w:p>
        </w:tc>
      </w:tr>
    </w:tbl>
    <w:p>
      <w:pPr>
        <w:spacing w:before="120" w:beforeLines="50" w:line="560" w:lineRule="exact"/>
        <w:jc w:val="center"/>
        <w:rPr>
          <w:rFonts w:ascii="黑体" w:hAnsi="黑体" w:eastAsia="黑体" w:cs="黑体"/>
          <w:bCs/>
          <w:color w:val="000000" w:themeColor="text1"/>
          <w:sz w:val="32"/>
          <w:szCs w:val="32"/>
          <w14:textFill>
            <w14:solidFill>
              <w14:schemeClr w14:val="tx1"/>
            </w14:solidFill>
          </w14:textFill>
        </w:rPr>
        <w:sectPr>
          <w:footerReference r:id="rId4" w:type="default"/>
          <w:pgSz w:w="11906" w:h="16838"/>
          <w:pgMar w:top="1701" w:right="1474" w:bottom="1418" w:left="1418" w:header="1191" w:footer="1021" w:gutter="0"/>
          <w:pgNumType w:fmt="decimal" w:start="1"/>
          <w:cols w:space="0" w:num="1"/>
          <w:docGrid w:linePitch="312" w:charSpace="0"/>
        </w:sectPr>
      </w:pPr>
    </w:p>
    <w:p>
      <w:pPr>
        <w:pStyle w:val="2"/>
        <w:spacing w:before="120"/>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0" w:num="1"/>
          <w:docGrid w:linePitch="312" w:charSpace="0"/>
        </w:sectPr>
      </w:pPr>
      <w:bookmarkStart w:id="85" w:name="_Toc25300"/>
      <w:bookmarkStart w:id="86" w:name="_Toc14791"/>
      <w:bookmarkStart w:id="87" w:name="_Toc23228"/>
      <w:bookmarkStart w:id="88" w:name="_Toc20128"/>
      <w:bookmarkStart w:id="89" w:name="_Toc16875"/>
      <w:bookmarkStart w:id="90" w:name="_Toc516560804"/>
      <w:bookmarkStart w:id="91" w:name="_Toc516560218"/>
    </w:p>
    <w:p>
      <w:pPr>
        <w:pStyle w:val="2"/>
        <w:spacing w:before="120"/>
        <w:rPr>
          <w:color w:val="000000" w:themeColor="text1"/>
          <w14:textFill>
            <w14:solidFill>
              <w14:schemeClr w14:val="tx1"/>
            </w14:solidFill>
          </w14:textFill>
        </w:rPr>
      </w:pPr>
      <w:bookmarkStart w:id="92" w:name="_Toc527397094"/>
      <w:bookmarkStart w:id="93" w:name="_Toc1416"/>
      <w:r>
        <w:rPr>
          <w:rFonts w:hint="eastAsia"/>
          <w:color w:val="000000" w:themeColor="text1"/>
          <w14:textFill>
            <w14:solidFill>
              <w14:schemeClr w14:val="tx1"/>
            </w14:solidFill>
          </w14:textFill>
        </w:rPr>
        <w:t>戏剧与影视学学术学位硕士研究生培养方案</w:t>
      </w:r>
      <w:bookmarkEnd w:id="85"/>
      <w:bookmarkEnd w:id="86"/>
      <w:bookmarkEnd w:id="87"/>
      <w:bookmarkEnd w:id="88"/>
      <w:bookmarkEnd w:id="89"/>
      <w:bookmarkEnd w:id="90"/>
      <w:bookmarkEnd w:id="91"/>
      <w:bookmarkEnd w:id="92"/>
      <w:bookmarkEnd w:id="93"/>
    </w:p>
    <w:p>
      <w:pPr>
        <w:spacing w:before="72" w:beforeLines="30"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（学科或专业代码：130300）</w:t>
      </w:r>
    </w:p>
    <w:p>
      <w:pPr>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2005年，经国务院学位委员会批准设立广播电视艺术学硕士点。2011年，获得戏剧与影视学一级学科学位授权点。本学科现有导师18人，已形成影视理论与文艺批评、广播电视艺术、影视文化与产业研究等3个较为稳定的培养方向。本学科立足西北，旨在为西北乃至全国培养高层次影视传媒人才，为西北影视文化的发展建立高端智库，同时，在“一带一路”建设中，发挥学科优势与地域优势，做好丝绸之路文化国内国际传播，努力将本学科建设成为西北影视文化传播的重镇。</w:t>
      </w:r>
    </w:p>
    <w:p>
      <w:pPr>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1.掌握坚实的戏剧影视基础理论，具有较深厚的艺术理论修养，了解本学科研究与国内外影视发展的前沿动态，可以深入开展本学科的研究与批评。</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2.掌握基本的影视创意策划与拍摄、制作等能力，能够独立完成影视编导与制作方面的工作，有较强的实践能力。</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3.掌握一门外国语；具有使用第一外国语进行国际交流的能力；能熟练地阅读本学科的外文文献；具有较强的计算机应用及信息检索能力。</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4.毕业生可以在高等院校、科研院所以及与影视相关的企事业单位，独立从事相关的教学科研工作，和影视节目的策划、制作、创作及管理工作。</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三、培养方式</w:t>
      </w:r>
    </w:p>
    <w:p>
      <w:pPr>
        <w:spacing w:line="460" w:lineRule="exact"/>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基于人才分层培养理念，采取灵活多样、行之有效的培养方式，提高研究生培养质量。</w:t>
      </w:r>
    </w:p>
    <w:p>
      <w:pPr>
        <w:spacing w:line="460" w:lineRule="exact"/>
        <w:ind w:firstLine="464" w:firstLineChars="200"/>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研究生入学后一个月内进行师生双向选择导师，硕士生导师和指导小组全面负责研究生培养工作。对研究生艺术实践、科研实践、中期考核、论文开题报告、论文工作检查等研究生教育的重要环节，由导师组集体讨论。导师要因材施教，严格要求，全面关心研究生的成长，要定期了解研究生的思想状况、学习和科研状况，并及时予以指导帮助。</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研究生在课程学习同时，在导师的指导下，着手准备学位论文的选题和开题工作，在第四学期完成开题报告，同期进行中期考核。</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四、本学科所学相关（近）专业知识</w:t>
      </w:r>
    </w:p>
    <w:p>
      <w:pPr>
        <w:spacing w:line="480" w:lineRule="exact"/>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传播学、文艺学、中国现当代文学、美学、社会学、艺术学理论等。</w:t>
      </w:r>
      <w:r>
        <w:rPr>
          <w:rFonts w:hint="eastAsia" w:ascii="黑体" w:hAnsi="黑体" w:eastAsia="黑体" w:cs="黑体"/>
          <w:color w:val="000000" w:themeColor="text1"/>
          <w:sz w:val="24"/>
          <w14:textFill>
            <w14:solidFill>
              <w14:schemeClr w14:val="tx1"/>
            </w14:solidFill>
          </w14:textFill>
        </w:rPr>
        <w:t xml:space="preserve"> </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实行弹性学制。硕士研究生基本学制3年，最长学习年限5年。在完成培养要求的前提下，对少数专业特殊、学业优秀、科研成果突出的硕士生，可申请提前毕业，提前期一般不超过1年。</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1.影视理论与文艺批评</w:t>
      </w:r>
    </w:p>
    <w:p>
      <w:pPr>
        <w:spacing w:line="480" w:lineRule="exact"/>
        <w:ind w:firstLine="480"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该方向的特色主要在于对电影和文学基础理论研究的同时，展开对西部影视和文学乃至文化的批评，使影视这一年轻的艺术研究和批评不仅拥有更为深广的艺术背景和文化内蕴，同时彰显出西部区域特色，从而实现基础理论研究与应用研究的有效结合。本</w:t>
      </w:r>
      <w:r>
        <w:rPr>
          <w:rFonts w:hint="eastAsia" w:ascii="宋体" w:hAnsi="宋体" w:cs="宋体"/>
          <w:color w:val="000000" w:themeColor="text1"/>
          <w:spacing w:val="-6"/>
          <w:sz w:val="24"/>
          <w14:textFill>
            <w14:solidFill>
              <w14:schemeClr w14:val="tx1"/>
            </w14:solidFill>
          </w14:textFill>
        </w:rPr>
        <w:t>方向的研究范围包括影视美学、艺术理论、影视批评、文学批评、文化批评等基础性学科。</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2.广播电视艺术</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该方向在电视艺术理论、播音与主持实践、纪录片创作等方面已取得了一系列成果，在丝绸之路影视文化理论与传播方面也有一定的理论开拓和学术建树。本方向注重培养硕士生对广播电视艺术作品的策划、编创、批评能力，通过影视艺术理论研讨、开放、交流等多元化培养形式，使学生能将理论研究成果运用于电视艺术的创作实践，培养广播视艺术学研究领域的高层次人才。</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3.影视文化与产业研究</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该方向以影视文化为研究范畴，以当下影视产业为研究重点。该方向跨越多个学科，研究范围广阔而深透，是对影视产业新现象、新理念的研究。影视文化与产业研究方向培养的学生，具有深厚的文化学养，能深刻理解文化产业在社会发展进程中的作用，在媒介研究以及产业发展方面具有可贵的创新思维和理论研究能力。</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硕士研究生应修满不少于35学分，其中公共必修课5学分，公共选修课1学分，专业基础课10学分，专业必修课6学分，专业选修课11学分（可选其他相关、相近专业课程），其他培养环节2学分。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八、课程设置及教学计划</w:t>
      </w:r>
      <w:r>
        <w:rPr>
          <w:rFonts w:hint="eastAsia" w:ascii="宋体" w:hAnsi="宋体" w:cs="宋体"/>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硕士研究生课程应在两年内完成。</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生必须完成公共必修课、专业必修课和专业必修课课程学习，应根据专业学习需求修读选修课。选修课程由研究生根据研究方向和自身特点经指导教师同意后选修；专业选修课程除课程设置和教学计划表所列选修课之外，经指导小组同意，可由各研究方向指导教师根据实际情况增设1门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研究生可以跨专业、跨学院、跨学科、跨层次选修与自己学术研究相关的课程。学校鼓励研究生选修荣誉课程和跨学院课程。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跨学科或同等学力考入的硕士研究生一般应补修广播电视编导专业本科课程：摄像艺术、电视编辑、影视语言。补修课程一律不计学分，以通过考试为准。</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位论文是研究生培养的重要环节。鼓励学生尽早进入学位论文研究与撰写阶段。论文选题必须经过充分论证，查阅相关的参考文献，了解国内外本领域的研究历史和现状，选择戏剧与影视学领域有重要学术价值的问题。论文字数不少于5万。</w:t>
      </w:r>
    </w:p>
    <w:p>
      <w:pPr>
        <w:spacing w:line="480" w:lineRule="exact"/>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附件：戏剧与影视学学术学位硕士研究生课程设置与教学计划表</w:t>
      </w:r>
    </w:p>
    <w:p>
      <w:pPr>
        <w:spacing w:line="48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pPr>
    </w:p>
    <w:p>
      <w:pPr>
        <w:spacing w:line="480" w:lineRule="exact"/>
        <w:rPr>
          <w:rFonts w:ascii="宋体" w:hAnsi="宋体" w:cs="宋体"/>
          <w:color w:val="000000" w:themeColor="text1"/>
          <w:sz w:val="24"/>
          <w14:textFill>
            <w14:solidFill>
              <w14:schemeClr w14:val="tx1"/>
            </w14:solidFill>
          </w14:textFill>
        </w:rPr>
        <w:sectPr>
          <w:headerReference r:id="rId5" w:type="default"/>
          <w:pgSz w:w="11906" w:h="16838"/>
          <w:pgMar w:top="1701" w:right="1474" w:bottom="1418" w:left="1418" w:header="1191" w:footer="1021" w:gutter="0"/>
          <w:pgNumType w:fmt="decimal"/>
          <w:cols w:space="0" w:num="1"/>
          <w:docGrid w:linePitch="312" w:charSpace="0"/>
        </w:sect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40" w:lineRule="exact"/>
        <w:rPr>
          <w:rFonts w:hint="eastAsia" w:ascii="宋体" w:hAnsi="宋体"/>
          <w:color w:val="000000" w:themeColor="text1"/>
          <w:sz w:val="24"/>
          <w14:textFill>
            <w14:solidFill>
              <w14:schemeClr w14:val="tx1"/>
            </w14:solidFill>
          </w14:textFill>
        </w:rPr>
        <w:sectPr>
          <w:type w:val="continuous"/>
          <w:pgSz w:w="11906" w:h="16838"/>
          <w:pgMar w:top="1701" w:right="1474" w:bottom="1418" w:left="1418" w:header="1191" w:footer="1021" w:gutter="0"/>
          <w:pgNumType w:fmt="decimal"/>
          <w:cols w:space="0" w:num="1"/>
          <w:docGrid w:linePitch="312" w:charSpace="0"/>
        </w:sectPr>
      </w:pPr>
    </w:p>
    <w:p>
      <w:pPr>
        <w:spacing w:line="34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p>
    <w:p>
      <w:pPr>
        <w:spacing w:after="72" w:afterLines="30" w:line="520" w:lineRule="exact"/>
        <w:jc w:val="center"/>
        <w:rPr>
          <w:color w:val="000000" w:themeColor="text1"/>
          <w:szCs w:val="2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戏剧与影视学学术学位硕士研究生课程设置与教学计划表</w:t>
      </w:r>
    </w:p>
    <w:tbl>
      <w:tblPr>
        <w:tblStyle w:val="7"/>
        <w:tblW w:w="9957" w:type="dxa"/>
        <w:jc w:val="center"/>
        <w:tblInd w:w="-35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02"/>
        <w:gridCol w:w="343"/>
        <w:gridCol w:w="587"/>
        <w:gridCol w:w="970"/>
        <w:gridCol w:w="2746"/>
        <w:gridCol w:w="675"/>
        <w:gridCol w:w="705"/>
        <w:gridCol w:w="675"/>
        <w:gridCol w:w="570"/>
        <w:gridCol w:w="1614"/>
        <w:gridCol w:w="6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8" w:hRule="atLeast"/>
          <w:jc w:val="center"/>
        </w:trPr>
        <w:tc>
          <w:tcPr>
            <w:tcW w:w="1332" w:type="dxa"/>
            <w:gridSpan w:val="3"/>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类别</w:t>
            </w:r>
          </w:p>
        </w:tc>
        <w:tc>
          <w:tcPr>
            <w:tcW w:w="9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课程代码</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课程名称</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学期</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分</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教师</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6" w:hRule="atLeast"/>
          <w:jc w:val="center"/>
        </w:trPr>
        <w:tc>
          <w:tcPr>
            <w:tcW w:w="40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30"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M0051001</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M0051005</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M0101222</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M0222007</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影视史论</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李燕临</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M0222005</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影视编导</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冯晓临</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M0222008</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影视文献研读</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冯晓临</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M0222009</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学术论文写作</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任志明</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M0222010</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传媒研究方法</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庄金玉</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M0222011</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影视传媒应用写作</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陈旭红</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专业必修课</w:t>
            </w:r>
          </w:p>
        </w:tc>
        <w:tc>
          <w:tcPr>
            <w:tcW w:w="58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影视理论与文艺批评</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M0223010</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影视剧本创作</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徐兆寿</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M0223011</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文艺学理论</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杨光祖</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M0223012</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影视批评</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丁松虎</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广播电视艺术</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M0223003</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电视创意与策划</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任志明</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M0223013</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电视节目创作研究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朱怡璇</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M0223002</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纪录片创作</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孟子为</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影视文化与产业研究</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M0223005</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传媒经济与管理</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石培龙</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M0223014</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影视产业专题研究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陈积银</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69" w:hRule="exact"/>
          <w:jc w:val="center"/>
        </w:trPr>
        <w:tc>
          <w:tcPr>
            <w:tcW w:w="40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343"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58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M0223004</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媒介文化研究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  华</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restart"/>
            <w:tcBorders>
              <w:tl2br w:val="nil"/>
              <w:tr2bl w:val="nil"/>
            </w:tcBorders>
            <w:textDirection w:val="tbRlV"/>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  修  课</w:t>
            </w:r>
          </w:p>
        </w:tc>
        <w:tc>
          <w:tcPr>
            <w:tcW w:w="930"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M0224007</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电视新闻编导</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任  儆</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M022421</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中外影视作品专题研究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赵丽瑾</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M0224032</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新媒体研究</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庄金玉</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M0224002</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视觉文化与传播</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浩</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M022428</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主持人与主持人节目研究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  丽</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M0224005</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民族文化传播</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马成鸣</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M0224012</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影视制作专题</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  军</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10"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M0224031</w:t>
            </w:r>
          </w:p>
        </w:tc>
        <w:tc>
          <w:tcPr>
            <w:tcW w:w="2746"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传播学专题研究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61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  红</w:t>
            </w:r>
          </w:p>
        </w:tc>
        <w:tc>
          <w:tcPr>
            <w:tcW w:w="67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1"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M0007000</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firstLine="180" w:firstLineChars="10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3" w:hRule="atLeast"/>
          <w:jc w:val="center"/>
        </w:trPr>
        <w:tc>
          <w:tcPr>
            <w:tcW w:w="40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30"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9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2746"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荣誉课程</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67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5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614"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70"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4" w:hRule="atLeast"/>
          <w:jc w:val="center"/>
        </w:trPr>
        <w:tc>
          <w:tcPr>
            <w:tcW w:w="1332"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环节</w:t>
            </w:r>
          </w:p>
        </w:tc>
        <w:tc>
          <w:tcPr>
            <w:tcW w:w="8625"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参加学术讲座（报告）不得少于10次，计1学分。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8" w:hRule="atLeast"/>
          <w:jc w:val="center"/>
        </w:trPr>
        <w:tc>
          <w:tcPr>
            <w:tcW w:w="1332" w:type="dxa"/>
            <w:gridSpan w:val="3"/>
            <w:vMerge w:val="continue"/>
            <w:tcBorders>
              <w:tl2br w:val="nil"/>
              <w:tr2bl w:val="nil"/>
            </w:tcBorders>
            <w:textDirection w:val="tbRlV"/>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8625"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Theme="minorEastAsia" w:hAnsiTheme="minorEastAsia" w:cstheme="minorEastAsia"/>
                <w:bCs/>
                <w:color w:val="000000" w:themeColor="text1"/>
                <w:sz w:val="18"/>
                <w:szCs w:val="18"/>
                <w14:textFill>
                  <w14:solidFill>
                    <w14:schemeClr w14:val="tx1"/>
                  </w14:solidFill>
                </w14:textFill>
              </w:rPr>
              <w:t>专业实践环节（科研实践、教学实践和社会实践）1学分。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5" w:hRule="atLeast"/>
          <w:jc w:val="center"/>
        </w:trPr>
        <w:tc>
          <w:tcPr>
            <w:tcW w:w="1332"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总学分</w:t>
            </w:r>
          </w:p>
        </w:tc>
        <w:tc>
          <w:tcPr>
            <w:tcW w:w="8625" w:type="dxa"/>
            <w:gridSpan w:val="8"/>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不低于35学分</w:t>
            </w:r>
          </w:p>
        </w:tc>
      </w:tr>
    </w:tbl>
    <w:p>
      <w:pPr>
        <w:autoSpaceDE w:val="0"/>
        <w:autoSpaceDN w:val="0"/>
        <w:adjustRightInd w:val="0"/>
        <w:spacing w:before="120" w:beforeLines="50" w:line="560" w:lineRule="exact"/>
        <w:jc w:val="center"/>
        <w:textAlignment w:val="baseline"/>
        <w:rPr>
          <w:rFonts w:ascii="宋体" w:hAnsi="宋体"/>
          <w:color w:val="000000" w:themeColor="text1"/>
          <w:kern w:val="24"/>
          <w:sz w:val="24"/>
          <w14:textFill>
            <w14:solidFill>
              <w14:schemeClr w14:val="tx1"/>
            </w14:solidFill>
          </w14:textFill>
        </w:rPr>
        <w:sectPr>
          <w:pgSz w:w="11906" w:h="16838"/>
          <w:pgMar w:top="1701" w:right="1474" w:bottom="1418" w:left="1418" w:header="1191" w:footer="1021" w:gutter="0"/>
          <w:pgNumType w:fmt="decimal"/>
          <w:cols w:space="0" w:num="1"/>
          <w:docGrid w:linePitch="312" w:charSpace="0"/>
        </w:sectPr>
      </w:pPr>
    </w:p>
    <w:p>
      <w:pPr>
        <w:pStyle w:val="2"/>
        <w:spacing w:before="120" w:after="120"/>
        <w:rPr>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0" w:num="1"/>
          <w:docGrid w:linePitch="317" w:charSpace="0"/>
        </w:sectPr>
      </w:pPr>
      <w:bookmarkStart w:id="94" w:name="_Toc10455"/>
      <w:bookmarkStart w:id="95" w:name="_Toc7496"/>
      <w:bookmarkStart w:id="96" w:name="_Toc516560805"/>
      <w:bookmarkStart w:id="97" w:name="_Toc516560219"/>
      <w:bookmarkStart w:id="98" w:name="_Toc6305"/>
      <w:bookmarkStart w:id="99" w:name="_Toc5926"/>
      <w:bookmarkStart w:id="100" w:name="_Toc20562"/>
    </w:p>
    <w:p>
      <w:pPr>
        <w:pStyle w:val="2"/>
        <w:spacing w:before="120"/>
        <w:rPr>
          <w:color w:val="000000" w:themeColor="text1"/>
          <w14:textFill>
            <w14:solidFill>
              <w14:schemeClr w14:val="tx1"/>
            </w14:solidFill>
          </w14:textFill>
        </w:rPr>
      </w:pPr>
      <w:bookmarkStart w:id="101" w:name="_Toc527397095"/>
      <w:bookmarkStart w:id="102" w:name="_Toc9395"/>
      <w:r>
        <w:rPr>
          <w:rFonts w:hint="eastAsia"/>
          <w:color w:val="000000" w:themeColor="text1"/>
          <w14:textFill>
            <w14:solidFill>
              <w14:schemeClr w14:val="tx1"/>
            </w14:solidFill>
          </w14:textFill>
        </w:rPr>
        <w:t>艺术硕士（广播电视）专业学位研究生培养方案</w:t>
      </w:r>
      <w:bookmarkEnd w:id="94"/>
      <w:bookmarkEnd w:id="95"/>
      <w:bookmarkEnd w:id="96"/>
      <w:bookmarkEnd w:id="97"/>
      <w:bookmarkEnd w:id="98"/>
      <w:bookmarkEnd w:id="99"/>
      <w:bookmarkEnd w:id="100"/>
      <w:bookmarkEnd w:id="101"/>
      <w:bookmarkEnd w:id="102"/>
    </w:p>
    <w:p>
      <w:pPr>
        <w:spacing w:before="72" w:beforeLines="30" w:after="240" w:afterLines="100" w:line="520" w:lineRule="exact"/>
        <w:jc w:val="center"/>
        <w:rPr>
          <w:color w:val="000000" w:themeColor="text1"/>
          <w14:textFill>
            <w14:solidFill>
              <w14:schemeClr w14:val="tx1"/>
            </w14:solidFill>
          </w14:textFill>
        </w:rPr>
      </w:pPr>
      <w:r>
        <w:rPr>
          <w:rFonts w:hint="eastAsia" w:ascii="楷体_GB2312" w:hAnsi="楷体_GB2312" w:eastAsia="楷体_GB2312" w:cs="楷体_GB2312"/>
          <w:bCs/>
          <w:color w:val="000000" w:themeColor="text1"/>
          <w:sz w:val="24"/>
          <w14:textFill>
            <w14:solidFill>
              <w14:schemeClr w14:val="tx1"/>
            </w14:solidFill>
          </w14:textFill>
        </w:rPr>
        <w:t xml:space="preserve">（学科或专业代码:135105）  </w:t>
      </w:r>
      <w:r>
        <w:rPr>
          <w:rFonts w:hint="eastAsia" w:ascii="宋体" w:hAnsi="宋体" w:eastAsia="宋体" w:cs="宋体"/>
          <w:b/>
          <w:color w:val="000000" w:themeColor="text1"/>
          <w:szCs w:val="21"/>
          <w14:textFill>
            <w14:solidFill>
              <w14:schemeClr w14:val="tx1"/>
            </w14:solidFill>
          </w14:textFill>
        </w:rPr>
        <w:t xml:space="preserve">  </w:t>
      </w:r>
    </w:p>
    <w:p>
      <w:pPr>
        <w:spacing w:line="460" w:lineRule="exact"/>
        <w:ind w:firstLine="480" w:firstLineChars="200"/>
        <w:rPr>
          <w:rFonts w:ascii="黑体" w:hAnsi="黑体" w:eastAsia="黑体" w:cs="黑体"/>
          <w:bCs/>
          <w:color w:val="000000" w:themeColor="text1"/>
          <w:sz w:val="24"/>
          <w14:textFill>
            <w14:solidFill>
              <w14:schemeClr w14:val="tx1"/>
            </w14:solidFill>
          </w14:textFill>
        </w:rPr>
      </w:pPr>
      <w:r>
        <w:rPr>
          <w:rFonts w:hint="eastAsia" w:ascii="黑体" w:hAnsi="黑体" w:eastAsia="黑体" w:cs="黑体"/>
          <w:bCs/>
          <w:color w:val="000000" w:themeColor="text1"/>
          <w:sz w:val="24"/>
          <w14:textFill>
            <w14:solidFill>
              <w14:schemeClr w14:val="tx1"/>
            </w14:solidFill>
          </w14:textFill>
        </w:rPr>
        <w:t>一、学科概况</w:t>
      </w:r>
    </w:p>
    <w:p>
      <w:pPr>
        <w:spacing w:line="460" w:lineRule="exact"/>
        <w:ind w:firstLine="470" w:firstLineChars="196"/>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西北师范大学在国内较早开设广播电视课程和相关专业。南国农先生开创的电化教育事业为我国广播电视行业培养了大量人才。2000年，我国西北地区首家广播电视编导本科专业率先招生。2005年，广播电视艺术学获得硕士学位授予权。2012年，戏剧与影视学获得一级学科硕士学位授予权。2013年，广播电视领域艺术硕士专业学位开始招生。目前，本专业学位点共有专任教师36人，其中教授6人，副教授13人，博士和在读博士14人，兼职导师共计21人。拥有电视演播厅、高清影像制作中心等实验场所和教学设备，总价值1000万元。</w:t>
      </w:r>
    </w:p>
    <w:p>
      <w:pPr>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培养广播电视领域具有系统专业知识和较高水平艺术创作技能的高层次、应用型专门人才。具体要求为：</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1.掌握马克思主义基本理论，具有良好的广播电视专业素质和职业道德，能够为西部乃至全国广播电视媒体和新媒体的发展增砖添瓦，为“一带一路”建设做出积极贡献。</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2.有系统的广播电视专业知识、较强的广播电视艺术理解力与表现力和高水平的广播电视艺术创作能力。</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3.能够运用一门外语，能够在本专业领域进行对外交流。</w:t>
      </w:r>
    </w:p>
    <w:p>
      <w:pPr>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三、招生对象</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具有大学本科学历（或本科同等学力）人员。</w:t>
      </w:r>
    </w:p>
    <w:p>
      <w:pPr>
        <w:spacing w:line="4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四、学习方式及年限</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全日制学习方式，基本学制3年，最长学习年限5年。</w:t>
      </w:r>
    </w:p>
    <w:p>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五、培养方向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1.影视编导与制作（含播音与主持艺术）</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2.影视创意与策划</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3.影视剧本创作</w:t>
      </w:r>
    </w:p>
    <w:p>
      <w:pPr>
        <w:spacing w:line="4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六、培养方式 </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养过程以广播电视创作实践为主，兼顾理论及内在素质的培养。采用课堂讲授、技能技巧的个别课与集体训练及艺术实践等相结合的培养方式。加大实践环节的学时数和学分比例。采取导师负责与导师组集体培养相结合的方法，对研究生艺术实践、科研实践、综合考核、论文开题报告、论文工作检查等研究生教育的重要环节，由导师组集体讨论。导师要因材施教，严格要求，全面关心研究生的成长，要定期了解研究生的思想状况、学习和科研状况，并及时予以指导帮助。同时采用双导师制度，聘请高水平的艺术家担任校外导师，校内导师与校外导师协同合作，前者主要负责校内文化课的学习，后者主要负责实践能力培养。</w:t>
      </w:r>
    </w:p>
    <w:p>
      <w:pPr>
        <w:spacing w:line="4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七、课程设置与学分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广播电视领域艺术硕士研究生课程分为公共必修课、专业必修课程和专业实践以及专业选修课。公共必修课着重于提高研究生的总体素质，拓展审美视野，增强理解作品的能力。专业必修课与专业实践以实践为主，着重于提高研究生广播电视专业技能水平，加深、拓展研究生的广播电视专业素养，提高研究生的综合艺术修养以及在作品创意表达和风格呈现方面的综合能力。专业选修课主要以学生选择的研究方向为主，强化学生的影视编导与制作、影视创意与策划、含影视剧本创作以及方面的专业能力和研究水平。学生可根据自己的兴趣和专业方向来选修课程，以利于全面提高学生的综合素质。</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课程与实践环节总学分不少于55学分，具体学分设置如下：</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1.公共必修课：不少于9学分。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2.专业必修课程与专业实践环节：不少于36学分。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3.专业选修课：不少于10学分。</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详见附表《西北师范大学艺术硕士研究生课程设置与教学计划表》及其说明。</w:t>
      </w:r>
    </w:p>
    <w:p>
      <w:pPr>
        <w:spacing w:line="4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八、毕业考核</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毕业考核包括专业能力展示和学位论文答辩。学位申请者，在修学规定课程和获得规定学分的同时，须完成专业能力展示和学位论文提交、答辩的毕业要求。专业能力展示和学位论文答辩共同作为艺术硕士专业学位申请人专业水平的评价依据。专业能力展示体现申请人的专业技能水平，学位论文答辩体现申请人对应用专业技能所表现出的综合素质、理论思考及阐述能力。专业能力展示和学位论文答辩均应公开进行，可以在专业能力展示达到合格水平再行论文答辩。</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（一）专业能力展示的要求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1.总体要求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影视编导与制作（含播音主持艺术）方向学生必须提交自己主创完成的视频作品、音视频作品或动画作品，影视创意与策划、影视剧本创作方向学生必须提交影视策划文案或影视剧本。</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2.具体要求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影视编导与制作（含播音主持艺术）方向学生必须提交自己主创完成的时长在30分钟以上的完整的视频作品或30分钟以上的以播音主持语言为主干的音视频作品或者15分钟以上的动画作品，影视创意与策划、影视剧本创作方向学生必须提交不少于15000字的影视策划文案或影视剧本。</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（二）学位论文的要求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学位论文必须结合学位作品，针对学位作品内容进行专业分析和理论阐述。论文选题必须与广播电视领域相关；选题必须有一定的创新性；作品和论文选题应该探索有价值的新现象、新规律，提出新思考、新方法。</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2.学位论文须符合学界共识的学术规范、标准及体例，杜绝剽窃和一切不端的学术行为。行文中应做到概念清楚、层次分明、文字简练。</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3.论文不少于0.8万字。</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（三）毕业考核委员会</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由相关领域具有高级职称的专家组成毕业考核委员会，考核专业能力展示和学位论文答辩是否达到合格水平。毕业考核委员会一般由5-7人组成。</w:t>
      </w:r>
    </w:p>
    <w:p>
      <w:pPr>
        <w:spacing w:line="48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九、学位授予</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研究生完成培养方案规定的课程学习，成绩合格，修满规定学分，达到专业学位研究生实践环节规定要求，通过论文答辩，经学校学位委员会审核批准，授予艺术硕士专业学位，并颁发艺术硕士专业学位证书和毕业证书。</w:t>
      </w:r>
    </w:p>
    <w:p>
      <w:pPr>
        <w:spacing w:line="480" w:lineRule="exact"/>
        <w:ind w:firstLine="480" w:firstLineChars="200"/>
        <w:rPr>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附件：艺术硕士（广播电视）专业学位研究生课程设置与教学计划表</w:t>
      </w:r>
    </w:p>
    <w:p>
      <w:pPr>
        <w:widowControl/>
        <w:spacing w:line="480" w:lineRule="exact"/>
        <w:rPr>
          <w:rFonts w:ascii="宋体" w:hAnsi="宋体" w:cs="宋体"/>
          <w:color w:val="000000" w:themeColor="text1"/>
          <w:sz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ascii="宋体" w:hAnsi="宋体" w:cs="宋体"/>
          <w:color w:val="000000" w:themeColor="text1"/>
          <w:sz w:val="28"/>
          <w14:textFill>
            <w14:solidFill>
              <w14:schemeClr w14:val="tx1"/>
            </w14:solidFill>
          </w14:textFill>
        </w:rPr>
        <w:br w:type="page"/>
      </w:r>
    </w:p>
    <w:p>
      <w:pPr>
        <w:spacing w:line="480" w:lineRule="exact"/>
        <w:jc w:val="left"/>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黑体" w:hAnsi="宋体" w:eastAsia="黑体" w:cs="宋体"/>
          <w:bCs/>
          <w:color w:val="000000" w:themeColor="text1"/>
          <w:kern w:val="0"/>
          <w:sz w:val="32"/>
          <w:szCs w:val="32"/>
          <w14:textFill>
            <w14:solidFill>
              <w14:schemeClr w14:val="tx1"/>
            </w14:solidFill>
          </w14:textFill>
        </w:rPr>
      </w:pPr>
      <w:r>
        <w:rPr>
          <w:rFonts w:hint="eastAsia" w:ascii="黑体" w:hAnsi="宋体" w:eastAsia="黑体" w:cs="宋体"/>
          <w:bCs/>
          <w:color w:val="000000" w:themeColor="text1"/>
          <w:kern w:val="0"/>
          <w:sz w:val="32"/>
          <w:szCs w:val="32"/>
          <w14:textFill>
            <w14:solidFill>
              <w14:schemeClr w14:val="tx1"/>
            </w14:solidFill>
          </w14:textFill>
        </w:rPr>
        <w:t>艺术硕士（广播电视）专业学位研究生课程</w:t>
      </w:r>
    </w:p>
    <w:p>
      <w:pPr>
        <w:spacing w:after="72" w:afterLines="30" w:line="520" w:lineRule="exact"/>
        <w:jc w:val="center"/>
        <w:rPr>
          <w:rFonts w:ascii="黑体" w:hAnsi="宋体" w:eastAsia="黑体" w:cs="宋体"/>
          <w:bCs/>
          <w:color w:val="000000" w:themeColor="text1"/>
          <w:kern w:val="0"/>
          <w:sz w:val="32"/>
          <w:szCs w:val="32"/>
          <w14:textFill>
            <w14:solidFill>
              <w14:schemeClr w14:val="tx1"/>
            </w14:solidFill>
          </w14:textFill>
        </w:rPr>
      </w:pPr>
      <w:r>
        <w:rPr>
          <w:rFonts w:hint="eastAsia" w:ascii="黑体" w:hAnsi="宋体" w:eastAsia="黑体" w:cs="宋体"/>
          <w:bCs/>
          <w:color w:val="000000" w:themeColor="text1"/>
          <w:kern w:val="0"/>
          <w:sz w:val="32"/>
          <w:szCs w:val="32"/>
          <w14:textFill>
            <w14:solidFill>
              <w14:schemeClr w14:val="tx1"/>
            </w14:solidFill>
          </w14:textFill>
        </w:rPr>
        <w:t>设置与教学计划表</w:t>
      </w:r>
    </w:p>
    <w:tbl>
      <w:tblPr>
        <w:tblStyle w:val="7"/>
        <w:tblW w:w="9541" w:type="dxa"/>
        <w:jc w:val="center"/>
        <w:tblInd w:w="-224"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24"/>
        <w:gridCol w:w="589"/>
        <w:gridCol w:w="1178"/>
        <w:gridCol w:w="2285"/>
        <w:gridCol w:w="675"/>
        <w:gridCol w:w="673"/>
        <w:gridCol w:w="803"/>
        <w:gridCol w:w="1543"/>
        <w:gridCol w:w="117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490" w:hRule="atLeast"/>
          <w:jc w:val="center"/>
        </w:trPr>
        <w:tc>
          <w:tcPr>
            <w:tcW w:w="1213"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课程类别</w:t>
            </w:r>
          </w:p>
        </w:tc>
        <w:tc>
          <w:tcPr>
            <w:tcW w:w="11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学分</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Z0101444</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第一外国语</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外国语学院</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Z0051001</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中国特色社会主义理论与实践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马克思主义学院</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Z0050005</w:t>
            </w:r>
          </w:p>
        </w:tc>
        <w:tc>
          <w:tcPr>
            <w:tcW w:w="2285"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马克思主义学院</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Z0011012</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艺术美学</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研究生院</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课与</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实践</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 xml:space="preserve"> </w:t>
            </w: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Z0223009</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马克思主义文艺理论</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传媒学院</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Z0223010</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艺术创作方法研究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李燕临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Z022312</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pacing w:val="-6"/>
                <w:sz w:val="18"/>
                <w:szCs w:val="18"/>
                <w14:textFill>
                  <w14:solidFill>
                    <w14:schemeClr w14:val="tx1"/>
                  </w14:solidFill>
                </w14:textFill>
              </w:rPr>
              <w:t>影视剧本创作理论与实践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徐兆寿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剧本、作品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Z0223011</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影视前沿动态</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赵丽瑾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Z0223008</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中国传统文化专题研究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杨光祖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Z0223004</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媒介文化研究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杨  华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Z0223007</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影视导演实践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冯晓临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Z0223789</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新媒体制作</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庄金玉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Z022313</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丝绸之路文化传播实践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姚成德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Z0223005</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传媒经济与管理</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王小枢（外聘）</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Z022314</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专业作品创作展示</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校内外双导师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Z0223006</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导师课</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72</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一至四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导师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论文、作品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Z0225004</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专业实践</w:t>
            </w:r>
          </w:p>
        </w:tc>
        <w:tc>
          <w:tcPr>
            <w:tcW w:w="675" w:type="dxa"/>
            <w:tcBorders>
              <w:tl2br w:val="nil"/>
              <w:tr2bl w:val="nil"/>
            </w:tcBorders>
            <w:tcMar>
              <w:top w:w="0" w:type="dxa"/>
              <w:left w:w="0" w:type="dxa"/>
              <w:bottom w:w="0" w:type="dxa"/>
              <w:right w:w="0" w:type="dxa"/>
            </w:tcMar>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一学期</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6</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校内外双导师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589"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影视创意与策划影视剧本创作</w:t>
            </w: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Z0224124</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影视改编研究与实践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徐兆寿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Z0224125</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电视节目形态创新与实践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陈积银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Z0224126</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影视传媒应用写作</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  浩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Z022413</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电视媒体创意与策划</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任志明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Z022419</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中外影视作品专题研究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赵丽瑾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Z022422</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影视批评</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  红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影视编导与制作（含播音与主持艺术）</w:t>
            </w: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Z0224127</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影视制作技术与实践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张  军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Z0224128</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电视新闻理论与实践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任  儆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Z0224129</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主持人与主持人节目专题研究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李  丽 副教授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Z0224130</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电视综艺节目专题研究</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外聘教授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Z0224131</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纪录片创作实践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孟子为 教  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624"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589"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Z0224132</w:t>
            </w:r>
          </w:p>
        </w:tc>
        <w:tc>
          <w:tcPr>
            <w:tcW w:w="2285"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播音主持创作实践</w:t>
            </w:r>
          </w:p>
        </w:tc>
        <w:tc>
          <w:tcPr>
            <w:tcW w:w="67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54</w:t>
            </w:r>
          </w:p>
        </w:tc>
        <w:tc>
          <w:tcPr>
            <w:tcW w:w="67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常晓丹（外聘）</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毕业考核</w:t>
            </w: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Z022A001</w:t>
            </w:r>
          </w:p>
        </w:tc>
        <w:tc>
          <w:tcPr>
            <w:tcW w:w="3633" w:type="dxa"/>
            <w:gridSpan w:val="3"/>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专业能力展示</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六</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导师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作品</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178" w:type="dxa"/>
            <w:tcBorders>
              <w:tl2br w:val="nil"/>
              <w:tr2bl w:val="nil"/>
            </w:tcBorders>
            <w:vAlign w:val="center"/>
          </w:tcPr>
          <w:p>
            <w:pPr>
              <w:keepNext w:val="0"/>
              <w:keepLines w:val="0"/>
              <w:suppressLineNumbers w:val="0"/>
              <w:adjustRightInd w:val="0"/>
              <w:snapToGrid w:val="0"/>
              <w:spacing w:before="0" w:beforeAutospacing="0" w:after="0" w:afterAutospacing="0" w:line="20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Z022A002</w:t>
            </w:r>
          </w:p>
        </w:tc>
        <w:tc>
          <w:tcPr>
            <w:tcW w:w="3633" w:type="dxa"/>
            <w:gridSpan w:val="3"/>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学位论文</w:t>
            </w:r>
          </w:p>
        </w:tc>
        <w:tc>
          <w:tcPr>
            <w:tcW w:w="8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六</w:t>
            </w:r>
          </w:p>
        </w:tc>
        <w:tc>
          <w:tcPr>
            <w:tcW w:w="154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导师</w:t>
            </w:r>
          </w:p>
        </w:tc>
        <w:tc>
          <w:tcPr>
            <w:tcW w:w="1171"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cantSplit/>
          <w:trHeight w:val="278" w:hRule="atLeast"/>
          <w:jc w:val="center"/>
        </w:trPr>
        <w:tc>
          <w:tcPr>
            <w:tcW w:w="1213"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8328" w:type="dxa"/>
            <w:gridSpan w:val="7"/>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至少修满55学分</w:t>
            </w:r>
          </w:p>
        </w:tc>
      </w:tr>
    </w:tbl>
    <w:p>
      <w:pPr>
        <w:spacing w:before="72" w:beforeLines="30" w:line="240" w:lineRule="exact"/>
        <w:ind w:left="-376" w:leftChars="-179" w:right="-370" w:rightChars="-176"/>
      </w:pPr>
      <w:bookmarkStart w:id="103" w:name="_Toc516560220"/>
      <w:r>
        <w:rPr>
          <w:rFonts w:hint="eastAsia" w:ascii="楷体_GB2312" w:hAnsi="楷体_GB2312" w:eastAsia="楷体_GB2312" w:cs="楷体_GB2312"/>
          <w:bCs/>
          <w:color w:val="000000" w:themeColor="text1"/>
          <w:sz w:val="18"/>
          <w:szCs w:val="18"/>
          <w14:textFill>
            <w14:solidFill>
              <w14:schemeClr w14:val="tx1"/>
            </w14:solidFill>
          </w14:textFill>
        </w:rPr>
        <w:t>说明：1.跨专业攻读西北师范大学广播电视领域艺术硕士专业学位者，须与导师协商，依据培养方向修读至少 3门相关本科课程，并通过相应课程考试。成绩不合格者，不得参加毕业考核。2.导师课主要指由导师组织实施的专题报告、调研活动、创意策划、学术讨论、作品拍摄等，共开设四学期，每学期不少于18学时，具体内容由校内导师和校外导师自行设计，时间和地点相对固定或事先与学院沟通。3.专业实践主要指一个学期的专业实习，安排在第五学期。可由学生自主选择实习单位和岗位（实习期间可以调换），也可由学院统一安排。学生选择须征得校内导师和校外导师的同意。初导师外，学院指定专人负责专业实践的联络、监督和具体实施。专业实践的成绩认定由导师负责，须经过实习单位鉴定、学院组织答辩、实习成果汇报展示等环节。4.鼓励学生按兴趣选修其他方向课程或跨学院选修，相应计入学分。</w:t>
      </w:r>
      <w:bookmarkEnd w:id="103"/>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40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39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555</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39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7nFlFgIAABcEAAAOAAAAAAAA&#10;AAEAIAAAAB8BAABkcnMvZTJvRG9jLnhtbFBLBQYAAAAABgAGAFkBAACn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555</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楷体_GB2312" w:eastAsia="楷体_GB2312"/>
        <w:sz w:val="21"/>
        <w:szCs w:val="21"/>
      </w:rPr>
    </w:pPr>
    <w:r>
      <w:rPr>
        <w:rFonts w:hint="eastAsia" w:ascii="楷体_GB2312" w:eastAsia="楷体_GB2312"/>
        <w:sz w:val="21"/>
        <w:szCs w:val="21"/>
      </w:rPr>
      <w:t>中国史（文化与传播）学术学位博士研究生培养方案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戏剧与影视学学术学位硕士研究生培养方案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艺术硕士（广播电视）专业学位研究生培养方案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C2170"/>
    <w:rsid w:val="389058B2"/>
    <w:rsid w:val="713C04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2018-11-09T05:30:23Z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