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r>
        <w:rPr>
          <w:color w:val="000000"/>
        </w:rPr>
        <w:drawing>
          <wp:anchor distT="0" distB="0" distL="114300" distR="114300" simplePos="0" relativeHeight="251660288" behindDoc="0" locked="0" layoutInCell="1" allowOverlap="1">
            <wp:simplePos x="0" y="0"/>
            <wp:positionH relativeFrom="column">
              <wp:posOffset>45720</wp:posOffset>
            </wp:positionH>
            <wp:positionV relativeFrom="paragraph">
              <wp:posOffset>216535</wp:posOffset>
            </wp:positionV>
            <wp:extent cx="3236595" cy="705485"/>
            <wp:effectExtent l="0" t="0" r="1905" b="18415"/>
            <wp:wrapNone/>
            <wp:docPr id="1" name="图片 55"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descr="图形1"/>
                    <pic:cNvPicPr>
                      <a:picLocks noChangeAspect="1"/>
                    </pic:cNvPicPr>
                  </pic:nvPicPr>
                  <pic:blipFill>
                    <a:blip r:embed="rId12"/>
                    <a:stretch>
                      <a:fillRect/>
                    </a:stretch>
                  </pic:blipFill>
                  <pic:spPr>
                    <a:xfrm>
                      <a:off x="0" y="0"/>
                      <a:ext cx="3236595" cy="705485"/>
                    </a:xfrm>
                    <a:prstGeom prst="rect">
                      <a:avLst/>
                    </a:prstGeom>
                    <a:noFill/>
                    <a:ln w="9525">
                      <a:noFill/>
                    </a:ln>
                  </pic:spPr>
                </pic:pic>
              </a:graphicData>
            </a:graphic>
          </wp:anchor>
        </w:drawing>
      </w: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before="120" w:beforeLines="50" w:after="240" w:afterLines="100" w:line="560" w:lineRule="exact"/>
        <w:outlineLvl w:val="0"/>
        <w:rPr>
          <w:rFonts w:ascii="方正大标宋简体" w:hAnsi="方正大标宋简体" w:eastAsia="方正大标宋简体" w:cs="方正大标宋简体"/>
          <w:b/>
          <w:color w:val="000000"/>
          <w:spacing w:val="23"/>
          <w:w w:val="80"/>
          <w:sz w:val="72"/>
          <w:szCs w:val="72"/>
        </w:rPr>
      </w:pPr>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bookmarkStart w:id="0" w:name="_Toc14388"/>
      <w:bookmarkStart w:id="1" w:name="_Toc29807"/>
      <w:bookmarkStart w:id="2" w:name="_Toc527396982"/>
      <w:bookmarkStart w:id="3" w:name="_Toc527391761"/>
    </w:p>
    <w:p>
      <w:pPr>
        <w:tabs>
          <w:tab w:val="right" w:leader="dot" w:pos="8788"/>
        </w:tabs>
        <w:spacing w:line="800" w:lineRule="exact"/>
        <w:jc w:val="center"/>
        <w:outlineLvl w:val="0"/>
        <w:rPr>
          <w:rFonts w:hint="eastAsia"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bookmarkStart w:id="4" w:name="_Toc18838"/>
      <w:bookmarkStart w:id="5" w:name="_Toc25055"/>
      <w:r>
        <w:rPr>
          <w:rFonts w:hint="eastAsia" w:ascii="方正大标宋简体" w:hAnsi="宋体-方正超大字符集" w:eastAsia="方正大标宋简体" w:cs="宋体-方正超大字符集"/>
          <w:b/>
          <w:bCs/>
          <w:color w:val="000000"/>
          <w:kern w:val="0"/>
          <w:sz w:val="76"/>
          <w:szCs w:val="76"/>
          <w:lang w:val="en-US" w:eastAsia="zh-CN"/>
        </w:rPr>
        <w:t>法学院</w:t>
      </w:r>
      <w:r>
        <w:rPr>
          <w:rFonts w:hint="eastAsia" w:ascii="方正大标宋简体" w:hAnsi="宋体-方正超大字符集" w:eastAsia="方正大标宋简体" w:cs="宋体-方正超大字符集"/>
          <w:b/>
          <w:bCs/>
          <w:color w:val="000000"/>
          <w:kern w:val="0"/>
          <w:sz w:val="76"/>
          <w:szCs w:val="76"/>
        </w:rPr>
        <w:t>研究生</w:t>
      </w:r>
      <w:bookmarkEnd w:id="0"/>
      <w:bookmarkEnd w:id="1"/>
      <w:bookmarkStart w:id="6" w:name="_Toc11832"/>
      <w:bookmarkStart w:id="7" w:name="_Toc23974"/>
      <w:r>
        <w:rPr>
          <w:rFonts w:hint="eastAsia" w:ascii="方正大标宋简体" w:hAnsi="宋体-方正超大字符集" w:eastAsia="方正大标宋简体" w:cs="宋体-方正超大字符集"/>
          <w:b/>
          <w:bCs/>
          <w:color w:val="000000"/>
          <w:kern w:val="0"/>
          <w:sz w:val="76"/>
          <w:szCs w:val="76"/>
        </w:rPr>
        <w:t>培养方</w:t>
      </w:r>
      <w:bookmarkEnd w:id="6"/>
      <w:bookmarkEnd w:id="7"/>
      <w:r>
        <w:rPr>
          <w:rFonts w:hint="eastAsia" w:ascii="方正大标宋简体" w:hAnsi="宋体-方正超大字符集" w:eastAsia="方正大标宋简体" w:cs="宋体-方正超大字符集"/>
          <w:b/>
          <w:bCs/>
          <w:color w:val="000000"/>
          <w:kern w:val="0"/>
          <w:sz w:val="76"/>
          <w:szCs w:val="76"/>
        </w:rPr>
        <w:t>案</w:t>
      </w:r>
      <w:bookmarkEnd w:id="2"/>
      <w:bookmarkEnd w:id="3"/>
      <w:bookmarkEnd w:id="4"/>
      <w:bookmarkEnd w:id="5"/>
    </w:p>
    <w:p>
      <w:pPr>
        <w:tabs>
          <w:tab w:val="right" w:leader="dot" w:pos="8788"/>
        </w:tabs>
        <w:spacing w:line="800" w:lineRule="exact"/>
        <w:jc w:val="center"/>
        <w:outlineLvl w:val="0"/>
        <w:rPr>
          <w:rFonts w:ascii="方正大标宋简体" w:hAnsi="宋体-方正超大字符集" w:eastAsia="方正大标宋简体" w:cs="宋体-方正超大字符集"/>
          <w:b/>
          <w:bCs/>
          <w:color w:val="000000"/>
          <w:kern w:val="0"/>
          <w:sz w:val="76"/>
          <w:szCs w:val="76"/>
        </w:rPr>
      </w:pPr>
    </w:p>
    <w:p>
      <w:pPr>
        <w:tabs>
          <w:tab w:val="right" w:leader="dot" w:pos="8788"/>
        </w:tabs>
        <w:spacing w:line="800" w:lineRule="exact"/>
        <w:jc w:val="center"/>
        <w:outlineLvl w:val="0"/>
        <w:rPr>
          <w:rFonts w:ascii="方正大标宋简体" w:hAnsi="宋体-方正超大字符集" w:eastAsia="方正大标宋简体" w:cs="宋体-方正超大字符集"/>
          <w:bCs/>
          <w:color w:val="000000"/>
          <w:kern w:val="0"/>
          <w:sz w:val="70"/>
          <w:szCs w:val="76"/>
        </w:rPr>
      </w:pPr>
      <w:bookmarkStart w:id="8" w:name="_Toc29970"/>
      <w:bookmarkStart w:id="9" w:name="_Toc27807"/>
      <w:r>
        <w:rPr>
          <w:rFonts w:hint="eastAsia" w:ascii="方正大标宋简体" w:hAnsi="宋体-方正超大字符集" w:eastAsia="方正大标宋简体" w:cs="宋体-方正超大字符集"/>
          <w:bCs/>
          <w:color w:val="000000"/>
          <w:kern w:val="0"/>
          <w:sz w:val="70"/>
          <w:szCs w:val="76"/>
        </w:rPr>
        <w:t>（2018版）</w:t>
      </w:r>
      <w:bookmarkEnd w:id="8"/>
      <w:bookmarkEnd w:id="9"/>
    </w:p>
    <w:p>
      <w:pPr>
        <w:rPr>
          <w:color w:val="000000"/>
        </w:rPr>
      </w:pPr>
    </w:p>
    <w:p>
      <w:pPr>
        <w:rPr>
          <w:rFonts w:hint="eastAsia"/>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jc w:val="center"/>
        <w:rPr>
          <w:color w:val="000000"/>
          <w:sz w:val="39"/>
        </w:rPr>
      </w:pPr>
      <w:r>
        <w:rPr>
          <w:rFonts w:hint="eastAsia"/>
          <w:color w:val="000000"/>
          <w:sz w:val="39"/>
        </w:rPr>
        <w:t>二〇一八年九月</w:t>
      </w:r>
    </w:p>
    <w:p>
      <w:pPr>
        <w:sectPr>
          <w:pgSz w:w="11906" w:h="16838"/>
          <w:pgMar w:top="1440" w:right="1800" w:bottom="1440" w:left="1800" w:header="851" w:footer="992" w:gutter="0"/>
          <w:cols w:space="425" w:num="1"/>
          <w:docGrid w:type="lines" w:linePitch="312" w:charSpace="0"/>
        </w:sectPr>
      </w:pPr>
    </w:p>
    <w:p>
      <w:pPr>
        <w:tabs>
          <w:tab w:val="right" w:leader="dot" w:pos="8788"/>
        </w:tabs>
        <w:spacing w:before="120" w:beforeLines="50" w:after="240" w:afterLines="100" w:line="560" w:lineRule="exact"/>
        <w:jc w:val="center"/>
        <w:outlineLvl w:val="0"/>
      </w:pPr>
      <w:bookmarkStart w:id="10" w:name="_Toc527391762"/>
      <w:bookmarkStart w:id="11" w:name="_Toc527396983"/>
      <w:bookmarkStart w:id="12" w:name="_Toc20692"/>
      <w:bookmarkStart w:id="13" w:name="_Toc527397037"/>
      <w:r>
        <w:rPr>
          <w:rFonts w:hint="eastAsia" w:ascii="华文中宋" w:hAnsi="华文中宋" w:eastAsia="华文中宋" w:cs="华文中宋"/>
          <w:b/>
          <w:bCs/>
          <w:color w:val="000000"/>
          <w:kern w:val="0"/>
          <w:sz w:val="36"/>
          <w:szCs w:val="36"/>
        </w:rPr>
        <w:t>目 录</w:t>
      </w:r>
      <w:bookmarkEnd w:id="10"/>
      <w:bookmarkEnd w:id="11"/>
      <w:bookmarkEnd w:id="12"/>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color w:val="000000" w:themeColor="text1"/>
          <w14:textFill>
            <w14:solidFill>
              <w14:schemeClr w14:val="tx1"/>
            </w14:solidFill>
          </w14:textFill>
        </w:rPr>
        <w:fldChar w:fldCharType="begin"/>
      </w:r>
      <w:r>
        <w:rPr>
          <w:rFonts w:hint="eastAsia"/>
          <w:color w:val="000000" w:themeColor="text1"/>
          <w14:textFill>
            <w14:solidFill>
              <w14:schemeClr w14:val="tx1"/>
            </w14:solidFill>
          </w14:textFill>
        </w:rPr>
        <w:instrText xml:space="preserve">TOC \o "1-1" \h \u </w:instrText>
      </w:r>
      <w:r>
        <w:rPr>
          <w:rFonts w:hint="eastAsia"/>
          <w:color w:val="000000" w:themeColor="text1"/>
          <w14:textFill>
            <w14:solidFill>
              <w14:schemeClr w14:val="tx1"/>
            </w14:solidFill>
          </w14:textFill>
        </w:rPr>
        <w:fldChar w:fldCharType="separate"/>
      </w: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_Toc18312 </w:instrText>
      </w:r>
      <w:r>
        <w:rPr>
          <w:rFonts w:hint="eastAsia" w:ascii="仿宋" w:hAnsi="仿宋" w:eastAsia="仿宋" w:cs="仿宋"/>
          <w:sz w:val="30"/>
          <w:szCs w:val="30"/>
        </w:rPr>
        <w:fldChar w:fldCharType="separate"/>
      </w:r>
      <w:r>
        <w:rPr>
          <w:rFonts w:hint="eastAsia" w:ascii="仿宋" w:hAnsi="仿宋" w:eastAsia="仿宋" w:cs="仿宋"/>
          <w:sz w:val="30"/>
          <w:szCs w:val="30"/>
        </w:rPr>
        <w:t>法学学术学位硕士研究生培养方案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_Toc18312 </w:instrText>
      </w:r>
      <w:r>
        <w:rPr>
          <w:rFonts w:hint="eastAsia" w:ascii="仿宋" w:hAnsi="仿宋" w:eastAsia="仿宋" w:cs="仿宋"/>
          <w:sz w:val="30"/>
          <w:szCs w:val="30"/>
        </w:rPr>
        <w:fldChar w:fldCharType="separate"/>
      </w:r>
      <w:r>
        <w:rPr>
          <w:rFonts w:hint="eastAsia" w:ascii="仿宋" w:hAnsi="仿宋" w:eastAsia="仿宋" w:cs="仿宋"/>
          <w:sz w:val="30"/>
          <w:szCs w:val="30"/>
        </w:rPr>
        <w:t>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_Toc10083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全日制法律硕士（非法学）专业学位研究生培养方案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_Toc10083 </w:instrText>
      </w:r>
      <w:r>
        <w:rPr>
          <w:rFonts w:hint="eastAsia" w:ascii="仿宋" w:hAnsi="仿宋" w:eastAsia="仿宋" w:cs="仿宋"/>
          <w:sz w:val="30"/>
          <w:szCs w:val="30"/>
        </w:rPr>
        <w:fldChar w:fldCharType="separate"/>
      </w:r>
      <w:r>
        <w:rPr>
          <w:rFonts w:hint="eastAsia" w:ascii="仿宋" w:hAnsi="仿宋" w:eastAsia="仿宋" w:cs="仿宋"/>
          <w:sz w:val="30"/>
          <w:szCs w:val="30"/>
        </w:rPr>
        <w:t>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_Toc29210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非全日制法律硕士（非</w:t>
      </w:r>
      <w:bookmarkStart w:id="51" w:name="_GoBack"/>
      <w:bookmarkEnd w:id="51"/>
      <w:r>
        <w:rPr>
          <w:rFonts w:hint="eastAsia" w:ascii="仿宋" w:hAnsi="仿宋" w:eastAsia="仿宋" w:cs="仿宋"/>
          <w:sz w:val="30"/>
          <w:szCs w:val="30"/>
        </w:rPr>
        <w:t>法学）专业学位研究生培养方案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_Toc29210 </w:instrText>
      </w:r>
      <w:r>
        <w:rPr>
          <w:rFonts w:hint="eastAsia" w:ascii="仿宋" w:hAnsi="仿宋" w:eastAsia="仿宋" w:cs="仿宋"/>
          <w:sz w:val="30"/>
          <w:szCs w:val="30"/>
        </w:rPr>
        <w:fldChar w:fldCharType="separate"/>
      </w:r>
      <w:r>
        <w:rPr>
          <w:rFonts w:hint="eastAsia" w:ascii="仿宋" w:hAnsi="仿宋" w:eastAsia="仿宋" w:cs="仿宋"/>
          <w:sz w:val="30"/>
          <w:szCs w:val="30"/>
        </w:rPr>
        <w:t>14</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rPr>
          <w:rFonts w:hint="eastAsia" w:ascii="仿宋" w:hAnsi="仿宋" w:eastAsia="仿宋" w:cs="仿宋"/>
          <w:sz w:val="30"/>
          <w:szCs w:val="30"/>
        </w:rPr>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_Toc28813 </w:instrText>
      </w:r>
      <w:r>
        <w:rPr>
          <w:rFonts w:hint="eastAsia" w:ascii="仿宋" w:hAnsi="仿宋" w:eastAsia="仿宋" w:cs="仿宋"/>
          <w:sz w:val="30"/>
          <w:szCs w:val="30"/>
        </w:rPr>
        <w:fldChar w:fldCharType="separate"/>
      </w:r>
      <w:r>
        <w:rPr>
          <w:rFonts w:hint="eastAsia" w:ascii="仿宋" w:hAnsi="仿宋" w:eastAsia="仿宋" w:cs="仿宋"/>
          <w:sz w:val="30"/>
          <w:szCs w:val="30"/>
        </w:rPr>
        <w:t>全日制法律硕士（法学）专业学位研究生培养方案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_Toc28813 </w:instrText>
      </w:r>
      <w:r>
        <w:rPr>
          <w:rFonts w:hint="eastAsia" w:ascii="仿宋" w:hAnsi="仿宋" w:eastAsia="仿宋" w:cs="仿宋"/>
          <w:sz w:val="30"/>
          <w:szCs w:val="30"/>
        </w:rPr>
        <w:fldChar w:fldCharType="separate"/>
      </w:r>
      <w:r>
        <w:rPr>
          <w:rFonts w:hint="eastAsia" w:ascii="仿宋" w:hAnsi="仿宋" w:eastAsia="仿宋" w:cs="仿宋"/>
          <w:sz w:val="30"/>
          <w:szCs w:val="30"/>
        </w:rPr>
        <w:t>21</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5"/>
        <w:keepNext w:val="0"/>
        <w:keepLines w:val="0"/>
        <w:pageBreakBefore w:val="0"/>
        <w:widowControl w:val="0"/>
        <w:tabs>
          <w:tab w:val="right" w:leader="dot" w:pos="9014"/>
        </w:tabs>
        <w:kinsoku/>
        <w:wordWrap/>
        <w:overflowPunct/>
        <w:topLinePunct w:val="0"/>
        <w:autoSpaceDE/>
        <w:autoSpaceDN/>
        <w:bidi w:val="0"/>
        <w:adjustRightInd/>
        <w:snapToGrid/>
        <w:spacing w:line="520" w:lineRule="exact"/>
        <w:textAlignment w:val="auto"/>
        <w:outlineLvl w:val="9"/>
      </w:pPr>
      <w:r>
        <w:rPr>
          <w:rFonts w:hint="eastAsia" w:ascii="仿宋" w:hAnsi="仿宋" w:eastAsia="仿宋" w:cs="仿宋"/>
          <w:color w:val="000000" w:themeColor="text1"/>
          <w:sz w:val="30"/>
          <w:szCs w:val="30"/>
          <w14:textFill>
            <w14:solidFill>
              <w14:schemeClr w14:val="tx1"/>
            </w14:solidFill>
          </w14:textFill>
        </w:rPr>
        <w:fldChar w:fldCharType="begin"/>
      </w:r>
      <w:r>
        <w:rPr>
          <w:rFonts w:hint="eastAsia" w:ascii="仿宋" w:hAnsi="仿宋" w:eastAsia="仿宋" w:cs="仿宋"/>
          <w:sz w:val="30"/>
          <w:szCs w:val="30"/>
        </w:rPr>
        <w:instrText xml:space="preserve"> HYPERLINK \l _Toc16674 </w:instrText>
      </w:r>
      <w:r>
        <w:rPr>
          <w:rFonts w:hint="eastAsia" w:ascii="仿宋" w:hAnsi="仿宋" w:eastAsia="仿宋" w:cs="仿宋"/>
          <w:sz w:val="30"/>
          <w:szCs w:val="30"/>
        </w:rPr>
        <w:fldChar w:fldCharType="separate"/>
      </w:r>
      <w:r>
        <w:rPr>
          <w:rFonts w:hint="eastAsia" w:ascii="仿宋" w:hAnsi="仿宋" w:eastAsia="仿宋" w:cs="仿宋"/>
          <w:sz w:val="30"/>
          <w:szCs w:val="30"/>
        </w:rPr>
        <w:t>非全日制法律硕士（法学）专业学位研究生培养方案</w:t>
      </w:r>
      <w:r>
        <w:rPr>
          <w:rFonts w:hint="eastAsia" w:ascii="仿宋" w:hAnsi="仿宋" w:eastAsia="仿宋" w:cs="仿宋"/>
          <w:sz w:val="30"/>
          <w:szCs w:val="30"/>
        </w:rPr>
        <w:tab/>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PAGEREF _Toc16674 </w:instrText>
      </w:r>
      <w:r>
        <w:rPr>
          <w:rFonts w:hint="eastAsia" w:ascii="仿宋" w:hAnsi="仿宋" w:eastAsia="仿宋" w:cs="仿宋"/>
          <w:sz w:val="30"/>
          <w:szCs w:val="30"/>
        </w:rPr>
        <w:fldChar w:fldCharType="separate"/>
      </w:r>
      <w:r>
        <w:rPr>
          <w:rFonts w:hint="eastAsia" w:ascii="仿宋" w:hAnsi="仿宋" w:eastAsia="仿宋" w:cs="仿宋"/>
          <w:sz w:val="30"/>
          <w:szCs w:val="30"/>
        </w:rPr>
        <w:t>27</w:t>
      </w:r>
      <w:r>
        <w:rPr>
          <w:rFonts w:hint="eastAsia" w:ascii="仿宋" w:hAnsi="仿宋" w:eastAsia="仿宋" w:cs="仿宋"/>
          <w:sz w:val="30"/>
          <w:szCs w:val="30"/>
        </w:rPr>
        <w:fldChar w:fldCharType="end"/>
      </w:r>
      <w:r>
        <w:rPr>
          <w:rFonts w:hint="eastAsia" w:ascii="仿宋" w:hAnsi="仿宋" w:eastAsia="仿宋" w:cs="仿宋"/>
          <w:color w:val="000000" w:themeColor="text1"/>
          <w:sz w:val="30"/>
          <w:szCs w:val="30"/>
          <w14:textFill>
            <w14:solidFill>
              <w14:schemeClr w14:val="tx1"/>
            </w14:solidFill>
          </w14:textFill>
        </w:rPr>
        <w:fldChar w:fldCharType="end"/>
      </w:r>
    </w:p>
    <w:p>
      <w:pPr>
        <w:pStyle w:val="2"/>
        <w:spacing w:before="120"/>
        <w:rPr>
          <w:rFonts w:hint="eastAsia"/>
          <w:color w:val="000000" w:themeColor="text1"/>
          <w14:textFill>
            <w14:solidFill>
              <w14:schemeClr w14:val="tx1"/>
            </w14:solidFill>
          </w14:textFill>
        </w:rPr>
        <w:sectPr>
          <w:headerReference r:id="rId3" w:type="default"/>
          <w:footerReference r:id="rId4" w:type="default"/>
          <w:pgSz w:w="11906" w:h="16838"/>
          <w:pgMar w:top="1701" w:right="1474" w:bottom="1418" w:left="1418" w:header="1191" w:footer="1021" w:gutter="0"/>
          <w:cols w:space="0" w:num="1"/>
          <w:docGrid w:linePitch="317" w:charSpace="0"/>
        </w:sectPr>
      </w:pPr>
      <w:r>
        <w:rPr>
          <w:rFonts w:hint="eastAsia"/>
          <w:color w:val="000000" w:themeColor="text1"/>
          <w14:textFill>
            <w14:solidFill>
              <w14:schemeClr w14:val="tx1"/>
            </w14:solidFill>
          </w14:textFill>
        </w:rPr>
        <w:fldChar w:fldCharType="end"/>
      </w:r>
    </w:p>
    <w:p>
      <w:pPr>
        <w:pStyle w:val="2"/>
        <w:spacing w:before="120"/>
        <w:rPr>
          <w:color w:val="000000" w:themeColor="text1"/>
          <w14:textFill>
            <w14:solidFill>
              <w14:schemeClr w14:val="tx1"/>
            </w14:solidFill>
          </w14:textFill>
        </w:rPr>
      </w:pPr>
      <w:bookmarkStart w:id="14" w:name="_Toc18312"/>
      <w:r>
        <w:rPr>
          <w:rFonts w:hint="eastAsia"/>
          <w:color w:val="000000" w:themeColor="text1"/>
          <w14:textFill>
            <w14:solidFill>
              <w14:schemeClr w14:val="tx1"/>
            </w14:solidFill>
          </w14:textFill>
        </w:rPr>
        <w:t>法学学术学位硕士研究生培养方案</w:t>
      </w:r>
      <w:bookmarkEnd w:id="13"/>
      <w:bookmarkEnd w:id="14"/>
    </w:p>
    <w:p>
      <w:pPr>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(学科或专业代码：0301)</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一、学科概况</w:t>
      </w:r>
    </w:p>
    <w:p>
      <w:pPr>
        <w:tabs>
          <w:tab w:val="left" w:pos="951"/>
        </w:tabs>
        <w:spacing w:line="480" w:lineRule="exact"/>
        <w:ind w:firstLine="480" w:firstLineChars="200"/>
        <w:rPr>
          <w:rFonts w:ascii="仿宋_GB2312" w:hAnsi="ˎ̥" w:eastAsia="仿宋_GB2312"/>
          <w:color w:val="000000" w:themeColor="text1"/>
          <w:sz w:val="18"/>
          <w:szCs w:val="1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西北师范大学法学教育历史悠久、积淀深厚，著名法学家吴文翰先生在此执教</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1995年设立法学本科专业；2003年获甘肃省唯一的“法学理论”二级学科硕士学位授予权，2004年开始招收第一届硕士研究生</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2010年9月，经甘肃省学位委员会批准，获得法学一级学科硕士学位授权点，下设法学理论、宪法学与行政法学、民商法学、诉讼法学四个二级学科；2012年在法律系基础上成立法学院</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2013年法学被评为省重点建设一级学科</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2014年新增法律硕士专业学位授权点和法律发展与地方治理博士点。经过20多年的艰苦努力与探索发展，法学学科建设已取得了长足的进步，形成了一支学历、年龄、学缘、职称结构相对合理，思想活跃，富有创新精神和社会责任感的高水平师资队伍。科学研究中既注重法学基础理论创新，又关注西北社会经济发展重大法治实践问题，在法理学、民法基础理论、知识产权法、民事诉讼法学、宪法理论、西方法律思想等领域研究成果突出，特色显明，研究水平在甘肃省乃至西北地区处于领先地位，在服务国家和地方法治建设方面发挥了重要作用，产生了较大的社会影响。</w:t>
      </w:r>
    </w:p>
    <w:p>
      <w:pPr>
        <w:spacing w:line="480" w:lineRule="exact"/>
        <w:ind w:firstLine="480" w:firstLineChars="200"/>
        <w:rPr>
          <w:rFonts w:ascii="黑体" w:hAnsi="宋体" w:eastAsia="黑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二、培养目标</w:t>
      </w:r>
      <w:r>
        <w:rPr>
          <w:rFonts w:hint="eastAsia" w:ascii="黑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kern w:val="2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根据国家和学校培养学生“人文情怀、国际视野、系统思维、批判性创新思维和信息化应用能力”的总体目标，本学位点着力培养德智体全面发展，具有坚定的政治方向，追求真理、维护正义，崇尚法律、恪守法律伦理；掌握系统扎实的法学专业知识、理论和技能，具有宽广的学术视野和严谨求实的学术作风，具有独立从事学术研究的能力，熟练掌握一门外语，能够阅读本专业的外文资料；能够适应当代中国法治建设和市场经济发展的需要，尤其是适应西北地区社会治理和法律运行的基本规律和特色，具备良好的法律思维、法律表达及人际沟通能力，身心健康，能够从事法学教学和研究以及立法、执法、司法、法律服务的优秀高级法律人才。基本规格是：</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（一）获取本学科硕士学位所应掌握的基本知识。具体包括基础性知识、专业性知识和工具性知识。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（二）具有热爱法学专业、独立学术人格和严谨学术态度、崇尚科学精神等学术素养等学术道德。</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（三）具备本学科硕士应当具备的基本学术能力。包括获取知识的能力、科学研究能力、实践能力、学术交流能力和其他能力。</w:t>
      </w:r>
    </w:p>
    <w:p>
      <w:pPr>
        <w:tabs>
          <w:tab w:val="left" w:pos="840"/>
        </w:tabs>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（四）具有良好的身体、心理素质和健全的人格，以及德智体美劳的全面发展。</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学硕士研究生的培养实行以导师为主的指导小组负责制，实行集体指导，由本专业导师集体指导完成课程学习，通过论文开题报告后，在导师的指导下撰写学位论文。实行课堂教学与科学研究并重的教学方式。注重灵活性，充分显示导师和学生之间的互动性，主要包括以下几个方面：</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课堂教学。在理念上改变课堂讲授式教学为研究型学习。要以研究生大量的专业阅读、讨论和研究代替教师的课堂讲授。每门课程由教师指定需要精读的专业书籍，研究生在老师的指导下和大量自学的基础上，提出有代表性的问题，按照创造性思维方法进行课堂讨论，任课教师组织讨论并进行点评和总结。</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自主学习。研究生在导师指导下，针对专业范围内某一问题进行专门学习，通过搜集专业资料、研究相关理论、做好读书笔记，并养成问题意识，寻找若干有价值的问题在导师的指导下进行研究。</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学术活动。研究生应当参与学术前沿与热点问题学术报告，掌握本专业最新学术动态，在校期间参加学术讲座（报告）不得少于10次。</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四、本学科所需其它相关（近）学科知识</w:t>
      </w:r>
    </w:p>
    <w:p>
      <w:pPr>
        <w:spacing w:line="480" w:lineRule="exact"/>
        <w:rPr>
          <w:rFonts w:ascii="宋体" w:hAnsi="宋体" w:eastAsia="宋体" w:cs="宋体"/>
          <w:color w:val="000000" w:themeColor="text1"/>
          <w:sz w:val="24"/>
          <w14:textFill>
            <w14:solidFill>
              <w14:schemeClr w14:val="tx1"/>
            </w14:solidFill>
          </w14:textFill>
        </w:rPr>
      </w:pPr>
      <w:r>
        <w:rPr>
          <w:rFonts w:hint="eastAsia" w:ascii="仿宋_GB2312" w:hAnsi="仿宋_GB2312"/>
          <w:color w:val="000000" w:themeColor="text1"/>
          <w:sz w:val="24"/>
          <w14:textFill>
            <w14:solidFill>
              <w14:schemeClr w14:val="tx1"/>
            </w14:solidFill>
          </w14:textFill>
        </w:rPr>
        <w:t xml:space="preserve">    社会学、经济学、管理学、政治学、哲学等</w:t>
      </w:r>
    </w:p>
    <w:p>
      <w:pPr>
        <w:spacing w:line="480" w:lineRule="exact"/>
        <w:ind w:firstLine="480" w:firstLineChars="200"/>
        <w:rPr>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五、学制及学习年限</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全日制法学硕士研究生的基本学制3年。最长学习年限5年。在完成培养要求的前提下，对少数学业优秀、科研成果突出的硕士生，可申请提前毕业，提前期一般不超过1年。</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六、研究方向</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1.法学理论</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2.宪法学与行政法学</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3.民商法学</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4.诉讼法学</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七、学分要求</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不低于35学分，其中，课程学习不低于33学分，其他培养环节2学分。</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八</w:t>
      </w:r>
      <w:r>
        <w:rPr>
          <w:rFonts w:hint="eastAsia"/>
          <w:color w:val="000000" w:themeColor="text1"/>
          <w:sz w:val="24"/>
          <w14:textFill>
            <w14:solidFill>
              <w14:schemeClr w14:val="tx1"/>
            </w14:solidFill>
          </w14:textFill>
        </w:rPr>
        <w:t>、</w:t>
      </w:r>
      <w:r>
        <w:rPr>
          <w:rFonts w:hint="eastAsia" w:ascii="黑体" w:eastAsia="黑体"/>
          <w:color w:val="000000" w:themeColor="text1"/>
          <w:sz w:val="24"/>
          <w14:textFill>
            <w14:solidFill>
              <w14:schemeClr w14:val="tx1"/>
            </w14:solidFill>
          </w14:textFill>
        </w:rPr>
        <w:t>课程设置与教学计划（</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九、学位论文要求</w:t>
      </w:r>
      <w:r>
        <w:rPr>
          <w:rFonts w:hint="eastAsia" w:ascii="宋体" w:hAnsi="宋体" w:cs="宋体"/>
          <w:color w:val="000000" w:themeColor="text1"/>
          <w:sz w:val="24"/>
          <w14:textFill>
            <w14:solidFill>
              <w14:schemeClr w14:val="tx1"/>
            </w14:solidFill>
          </w14:textFill>
        </w:rPr>
        <w:t></w:t>
      </w:r>
    </w:p>
    <w:p>
      <w:pPr>
        <w:spacing w:line="480" w:lineRule="exact"/>
        <w:ind w:firstLine="480" w:firstLineChars="200"/>
        <w:rPr>
          <w:rFonts w:ascii="黑体" w:eastAsia="黑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硕士学位论文工作是综合训练硕士研究生独立工作能力，培养理论联系实际和从事科学研究能力的重要手段。硕士生在导师指导下独立完成硕士学位论文工作。</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1.开题报告 </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（1）开题报告主要考察研究生文献阅读的数量和质量，能否提出有创新论点的论文提纲，要求学生阅读本专业不低于50篇（本）文献。</w:t>
      </w:r>
    </w:p>
    <w:p>
      <w:pPr>
        <w:spacing w:line="480" w:lineRule="exact"/>
        <w:ind w:firstLine="480"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（2）开题</w:t>
      </w:r>
      <w:r>
        <w:rPr>
          <w:rFonts w:hint="eastAsia" w:ascii="宋体" w:hAnsi="宋体" w:eastAsia="宋体" w:cs="宋体"/>
          <w:color w:val="000000" w:themeColor="text1"/>
          <w:spacing w:val="-6"/>
          <w:sz w:val="24"/>
          <w14:textFill>
            <w14:solidFill>
              <w14:schemeClr w14:val="tx1"/>
            </w14:solidFill>
          </w14:textFill>
        </w:rPr>
        <w:t>报告的核心内容是文献综述和评价、论文提纲。如果对本研究题目的文献阅读不足，开题教授可以提出新的阅读书目，研究生继续阅读补充，可以二次开题。</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（3）鼓励研究生围绕学位论文题目发表1篇科研论文，证明本研究的可行性和价值，具体级别要求根据学校的相关规定。</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（4）开题报告准备时间为1年。</w:t>
      </w:r>
    </w:p>
    <w:p>
      <w:pPr>
        <w:spacing w:line="48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（5）开题报告经过导师组审核同意后方可进入学位论文撰写阶段。</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2.学位论文对所研究课题应有新的见解</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（1）选题应当对某些法律理论或现实问题，提出自己的新见解或合理方案，要力求在理论上具有一定的创新或实践上具有一定的指导意义；</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（2）论文工作必须有一定的难度、深度和工作量。论文应是由硕士生本人独立完成的。一般性的文献综述、调研报告和课程设计等不能作为硕士学位论文；</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（3）新见解须有科学依据。</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3.学位论文能表明作者具有从事科学研究的能力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（1）具有独立进行文献检索、文献综述、调查研究和在导师指导下具有选题和提出科学研究工作计划的能力；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（2）根据课题的要求，能够确定合理的研究方案，并得出科学的结论，能对课题进行一定深度的理论分析，论文工作应表明作者具有分析问题和解决问题的能力；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（3）在学位论文答辩过程中，概念、思路清楚，回答问题确切，没有原则性错误，表明作者能够正确运用所掌握的基础理论和专业知识解决问题。</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4.硕士学位论文课题研究与撰写从开题到答辩时间为1年时间。</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5.硕士学位论文字数不少于5万字。</w:t>
      </w:r>
    </w:p>
    <w:p>
      <w:pPr>
        <w:spacing w:line="480" w:lineRule="exact"/>
        <w:ind w:firstLine="480"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6.导师负责硕士论文写作的全部过程。硕士生在完成学位论文后，经导师对学位论</w:t>
      </w:r>
      <w:r>
        <w:rPr>
          <w:rFonts w:hint="eastAsia" w:ascii="宋体" w:hAnsi="宋体" w:eastAsia="宋体" w:cs="宋体"/>
          <w:color w:val="000000" w:themeColor="text1"/>
          <w:spacing w:val="-6"/>
          <w:sz w:val="24"/>
          <w14:textFill>
            <w14:solidFill>
              <w14:schemeClr w14:val="tx1"/>
            </w14:solidFill>
          </w14:textFill>
        </w:rPr>
        <w:t>文进行检查、校对、指出问题，由本人修改后，按有关规定进行论文预答辩、评审和答辩。</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7.论文答辩合格后经校学位评定委员会投票表决通过，可授予法学硕士学位。</w:t>
      </w:r>
    </w:p>
    <w:p>
      <w:pPr>
        <w:spacing w:line="480" w:lineRule="exact"/>
        <w:rPr>
          <w:rFonts w:ascii="黑体" w:eastAsia="黑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附件：法学学术学位硕士研究生课程设置与教学计划表</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firstLineChars="200"/>
        <w:jc w:val="left"/>
        <w:rPr>
          <w:rFonts w:ascii="黑体" w:eastAsia="黑体"/>
          <w:color w:val="000000" w:themeColor="text1"/>
          <w:sz w:val="24"/>
          <w14:textFill>
            <w14:solidFill>
              <w14:schemeClr w14:val="tx1"/>
            </w14:solidFill>
          </w14:textFill>
        </w:rPr>
      </w:pPr>
    </w:p>
    <w:p>
      <w:pPr>
        <w:spacing w:line="480" w:lineRule="exact"/>
        <w:rPr>
          <w:rFonts w:ascii="黑体" w:eastAsia="黑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24"/>
          <w14:textFill>
            <w14:solidFill>
              <w14:schemeClr w14:val="tx1"/>
            </w14:solidFill>
          </w14:textFill>
        </w:rPr>
        <w:t>附件：</w:t>
      </w:r>
    </w:p>
    <w:p>
      <w:pPr>
        <w:spacing w:after="72" w:afterLines="30" w:line="520" w:lineRule="exact"/>
        <w:jc w:val="center"/>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法学学术学位硕士研究生课程设置与教学计划表</w:t>
      </w:r>
    </w:p>
    <w:tbl>
      <w:tblPr>
        <w:tblStyle w:val="8"/>
        <w:tblW w:w="9739"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78"/>
        <w:gridCol w:w="643"/>
        <w:gridCol w:w="708"/>
        <w:gridCol w:w="960"/>
        <w:gridCol w:w="1965"/>
        <w:gridCol w:w="690"/>
        <w:gridCol w:w="660"/>
        <w:gridCol w:w="660"/>
        <w:gridCol w:w="646"/>
        <w:gridCol w:w="1483"/>
        <w:gridCol w:w="746"/>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7" w:hRule="atLeast"/>
          <w:jc w:val="center"/>
        </w:trPr>
        <w:tc>
          <w:tcPr>
            <w:tcW w:w="1929"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学分</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任课教师</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5" w:hRule="atLeast"/>
          <w:jc w:val="center"/>
        </w:trPr>
        <w:tc>
          <w:tcPr>
            <w:tcW w:w="5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35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M0051001</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中国特色科学社会主义理论与实践研究</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M0050005</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马克思主义与社会科学方法论</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马克思主义学院</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M0101222</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第一外国语</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72</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基础</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M0072011</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法理学专题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赵书文</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M0072012</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宪法学专题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王宏英</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M0072013</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民法总论</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吴国喆</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M0072014</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司法制度专题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杜睿哲</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M0072015</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法学方法论</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何俊毅</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M0072016</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法科英语</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苏婉儿</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70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法学理论专业</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M0073001</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西方法哲学专题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曹  明</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M0073026</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比较法总论</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苏婉儿</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M0073027</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中国法制史专题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田庆锋</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M0073028</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法律社会学专题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牛绿花</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宪法学与行政法专业</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M0073029</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行政法专题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齐建辉</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M0073030</w:t>
            </w:r>
          </w:p>
        </w:tc>
        <w:tc>
          <w:tcPr>
            <w:tcW w:w="1965" w:type="dxa"/>
            <w:tcBorders>
              <w:tl2br w:val="nil"/>
              <w:tr2bl w:val="nil"/>
            </w:tcBorders>
            <w:vAlign w:val="center"/>
          </w:tcPr>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立法学原理</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何俊毅</w:t>
            </w:r>
          </w:p>
        </w:tc>
        <w:tc>
          <w:tcPr>
            <w:tcW w:w="74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M0073031</w:t>
            </w:r>
          </w:p>
        </w:tc>
        <w:tc>
          <w:tcPr>
            <w:tcW w:w="1965" w:type="dxa"/>
            <w:tcBorders>
              <w:tl2br w:val="nil"/>
              <w:tr2bl w:val="nil"/>
            </w:tcBorders>
            <w:vAlign w:val="center"/>
          </w:tcPr>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比较宪法学</w:t>
            </w:r>
            <w:r>
              <w:rPr>
                <w:rFonts w:hint="eastAsia" w:ascii="宋体" w:hAnsi="宋体" w:eastAsia="宋体" w:cs="宋体"/>
                <w:bCs/>
                <w:color w:val="000000" w:themeColor="text1"/>
                <w:sz w:val="18"/>
                <w:szCs w:val="18"/>
                <w14:textFill>
                  <w14:solidFill>
                    <w14:schemeClr w14:val="tx1"/>
                  </w14:solidFill>
                </w14:textFill>
              </w:rPr>
              <w:t>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王  勇</w:t>
            </w:r>
          </w:p>
        </w:tc>
        <w:tc>
          <w:tcPr>
            <w:tcW w:w="74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M0073023</w:t>
            </w:r>
          </w:p>
        </w:tc>
        <w:tc>
          <w:tcPr>
            <w:tcW w:w="1965" w:type="dxa"/>
            <w:tcBorders>
              <w:tl2br w:val="nil"/>
              <w:tr2bl w:val="nil"/>
            </w:tcBorders>
            <w:vAlign w:val="center"/>
          </w:tcPr>
          <w:p>
            <w:pPr>
              <w:keepNext w:val="0"/>
              <w:keepLines w:val="0"/>
              <w:suppressLineNumbers w:val="0"/>
              <w:spacing w:before="0" w:beforeAutospacing="0" w:after="0" w:afterAutospacing="0"/>
              <w:ind w:left="0" w:right="0"/>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行政诉讼法专题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齐建辉</w:t>
            </w:r>
          </w:p>
        </w:tc>
        <w:tc>
          <w:tcPr>
            <w:tcW w:w="74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民商法学专业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M0073005</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民法分论</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张菊霞</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M0073006</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商法学专题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M0073021</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知识产权法专题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李玉璧</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3" w:hRule="atLeas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M0073032</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金融法专题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0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诉讼法学专业</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M0073024</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刑事诉讼法专题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柴晓宇</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08"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M0073012</w:t>
            </w:r>
          </w:p>
        </w:tc>
        <w:tc>
          <w:tcPr>
            <w:tcW w:w="1965"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民事诉讼法专题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杜睿哲</w:t>
            </w:r>
          </w:p>
        </w:tc>
        <w:tc>
          <w:tcPr>
            <w:tcW w:w="74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08"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highlight w:val="red"/>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M0073033</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证据法</w:t>
            </w:r>
            <w:r>
              <w:rPr>
                <w:rFonts w:hint="eastAsia"/>
                <w:color w:val="000000" w:themeColor="text1"/>
                <w:sz w:val="18"/>
                <w:szCs w:val="18"/>
                <w14:textFill>
                  <w14:solidFill>
                    <w14:schemeClr w14:val="tx1"/>
                  </w14:solidFill>
                </w14:textFill>
              </w:rPr>
              <w:t>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8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43"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p>
        </w:tc>
        <w:tc>
          <w:tcPr>
            <w:tcW w:w="708" w:type="dxa"/>
            <w:vMerge w:val="continue"/>
            <w:tcBorders>
              <w:tl2br w:val="nil"/>
              <w:tr2bl w:val="nil"/>
            </w:tcBorders>
            <w:textDirection w:val="tbRlV"/>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M0073023</w:t>
            </w:r>
          </w:p>
        </w:tc>
        <w:tc>
          <w:tcPr>
            <w:tcW w:w="1965" w:type="dxa"/>
            <w:tcBorders>
              <w:tl2br w:val="nil"/>
              <w:tr2bl w:val="nil"/>
            </w:tcBorders>
            <w:vAlign w:val="center"/>
          </w:tcPr>
          <w:p>
            <w:pPr>
              <w:keepNext w:val="0"/>
              <w:keepLines w:val="0"/>
              <w:suppressLineNumbers w:val="0"/>
              <w:spacing w:before="0" w:beforeAutospacing="0" w:after="0" w:afterAutospacing="0"/>
              <w:ind w:left="0" w:right="0"/>
              <w:jc w:val="left"/>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行政诉讼法专题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eastAsia="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齐建辉</w:t>
            </w:r>
          </w:p>
        </w:tc>
        <w:tc>
          <w:tcPr>
            <w:tcW w:w="746" w:type="dxa"/>
            <w:tcBorders>
              <w:tl2br w:val="nil"/>
              <w:tr2bl w:val="nil"/>
            </w:tcBorders>
            <w:vAlign w:val="center"/>
          </w:tcPr>
          <w:p>
            <w:pPr>
              <w:keepNext w:val="0"/>
              <w:keepLines w:val="0"/>
              <w:suppressLineNumbers w:val="0"/>
              <w:spacing w:before="0" w:beforeAutospacing="0" w:after="0" w:afterAutospacing="0"/>
              <w:ind w:left="0" w:right="0"/>
              <w:jc w:val="center"/>
              <w:rPr>
                <w:rFonts w:hint="default"/>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2" w:hRule="exact"/>
          <w:jc w:val="center"/>
        </w:trPr>
        <w:tc>
          <w:tcPr>
            <w:tcW w:w="578" w:type="dxa"/>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40" w:lineRule="exact"/>
              <w:ind w:left="0" w:right="0"/>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35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专业</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M0074007</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婚姻家庭法专题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李  泉</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M0074008</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刑法学专题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党崇武</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M0074009</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罗马法历史导论</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苏婉儿</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6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M0074010</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pacing w:val="-6"/>
                <w:sz w:val="18"/>
                <w:szCs w:val="18"/>
                <w14:textFill>
                  <w14:solidFill>
                    <w14:schemeClr w14:val="tx1"/>
                  </w14:solidFill>
                </w14:textFill>
              </w:rPr>
              <w:t>劳动与社会保障法专题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M0074006</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法律职业伦理</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M0074003</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法律人类学专题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牛绿花</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2"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M0074011</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合同法专题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张久相</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M0074012</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中外公务员制度专题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齐建辉</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M0074013</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法律与宗教</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三</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田庆锋</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M0074004</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非诉讼纠纷解决机制</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张  芸</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M0074014</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比较刑事诉讼法专题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柴晓宇</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M0074015</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涉外民事诉讼法专题</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四</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王  兰</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6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公共</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选修</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default" w:ascii="宋体" w:hAnsi="宋体" w:cs="宋体"/>
                <w:color w:val="000000" w:themeColor="text1"/>
                <w:sz w:val="18"/>
                <w:szCs w:val="18"/>
                <w14:textFill>
                  <w14:solidFill>
                    <w14:schemeClr w14:val="tx1"/>
                  </w14:solidFill>
                </w14:textFill>
              </w:rPr>
              <w:t>M00</w:t>
            </w:r>
            <w:r>
              <w:rPr>
                <w:rFonts w:hint="eastAsia" w:ascii="宋体" w:hAnsi="宋体" w:cs="宋体"/>
                <w:color w:val="000000" w:themeColor="text1"/>
                <w:sz w:val="18"/>
                <w:szCs w:val="18"/>
                <w14:textFill>
                  <w14:solidFill>
                    <w14:schemeClr w14:val="tx1"/>
                  </w14:solidFill>
                </w14:textFill>
              </w:rPr>
              <w:t>07000</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语言能力提升课程</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外国语学院</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文学院</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7" w:hRule="exact"/>
          <w:jc w:val="center"/>
        </w:trPr>
        <w:tc>
          <w:tcPr>
            <w:tcW w:w="578" w:type="dxa"/>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351" w:type="dxa"/>
            <w:gridSpan w:val="2"/>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9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M0006000</w:t>
            </w:r>
          </w:p>
        </w:tc>
        <w:tc>
          <w:tcPr>
            <w:tcW w:w="1965" w:type="dxa"/>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荣誉课程</w:t>
            </w:r>
          </w:p>
        </w:tc>
        <w:tc>
          <w:tcPr>
            <w:tcW w:w="69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一、二</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6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w:t>
            </w:r>
          </w:p>
        </w:tc>
        <w:tc>
          <w:tcPr>
            <w:tcW w:w="6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48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研究生院</w:t>
            </w:r>
          </w:p>
        </w:tc>
        <w:tc>
          <w:tcPr>
            <w:tcW w:w="746"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70" w:hRule="exact"/>
          <w:jc w:val="center"/>
        </w:trPr>
        <w:tc>
          <w:tcPr>
            <w:tcW w:w="1929"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补修课程</w:t>
            </w:r>
          </w:p>
        </w:tc>
        <w:tc>
          <w:tcPr>
            <w:tcW w:w="781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非法学本科专业毕业研究生补修本科课程：法理学、民法学、刑法学、民事诉讼法学、经济法学，修完课程后参加考试，取得成绩，方可参加论文答辩</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929" w:type="dxa"/>
            <w:gridSpan w:val="3"/>
            <w:vMerge w:val="restart"/>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其他</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培养</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环节</w:t>
            </w:r>
          </w:p>
        </w:tc>
        <w:tc>
          <w:tcPr>
            <w:tcW w:w="781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参加本专业相关学术讲座（报告）不得少于10次（1学分）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929" w:type="dxa"/>
            <w:gridSpan w:val="3"/>
            <w:vMerge w:val="continue"/>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781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积极参加法律专业实践，到法律实践部门实践实习1-2周（1学分）</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929" w:type="dxa"/>
            <w:gridSpan w:val="3"/>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781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不低于35学分</w:t>
            </w:r>
          </w:p>
        </w:tc>
      </w:tr>
    </w:tbl>
    <w:p>
      <w:pPr>
        <w:spacing w:line="280" w:lineRule="exact"/>
        <w:ind w:firstLine="360" w:firstLineChars="200"/>
        <w:rPr>
          <w:rFonts w:ascii="宋体" w:hAnsi="宋体" w:eastAsia="宋体" w:cs="宋体"/>
          <w:color w:val="000000" w:themeColor="text1"/>
          <w:sz w:val="18"/>
          <w:szCs w:val="18"/>
          <w14:textFill>
            <w14:solidFill>
              <w14:schemeClr w14:val="tx1"/>
            </w14:solidFill>
          </w14:textFill>
        </w:rPr>
        <w:sectPr>
          <w:footerReference r:id="rId5" w:type="default"/>
          <w:pgSz w:w="11906" w:h="16838"/>
          <w:pgMar w:top="1701" w:right="1474" w:bottom="1418" w:left="1418" w:header="1191" w:footer="1021" w:gutter="0"/>
          <w:pgNumType w:fmt="decimal" w:start="1"/>
          <w:cols w:space="0" w:num="1"/>
          <w:docGrid w:linePitch="317" w:charSpace="0"/>
        </w:sectPr>
      </w:pPr>
    </w:p>
    <w:p>
      <w:pPr>
        <w:rPr>
          <w:color w:val="000000" w:themeColor="text1"/>
          <w14:textFill>
            <w14:solidFill>
              <w14:schemeClr w14:val="tx1"/>
            </w14:solidFill>
          </w14:textFill>
        </w:rPr>
      </w:pPr>
      <w:bookmarkStart w:id="15" w:name="_Toc14618"/>
      <w:bookmarkStart w:id="16" w:name="_Toc14760"/>
      <w:bookmarkStart w:id="17" w:name="_Toc21802"/>
      <w:bookmarkStart w:id="18" w:name="_Toc739"/>
      <w:bookmarkStart w:id="19" w:name="_Toc6062"/>
      <w:bookmarkStart w:id="20" w:name="_Toc3664"/>
      <w:bookmarkStart w:id="21" w:name="_Toc30170"/>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spacing w:before="120"/>
        <w:rPr>
          <w:color w:val="000000" w:themeColor="text1"/>
          <w14:textFill>
            <w14:solidFill>
              <w14:schemeClr w14:val="tx1"/>
            </w14:solidFill>
          </w14:textFill>
        </w:rPr>
      </w:pPr>
      <w:bookmarkStart w:id="22" w:name="_Toc527397038"/>
      <w:bookmarkStart w:id="23" w:name="_Toc10083"/>
      <w:r>
        <w:rPr>
          <w:rFonts w:hint="eastAsia"/>
          <w:color w:val="000000" w:themeColor="text1"/>
          <w14:textFill>
            <w14:solidFill>
              <w14:schemeClr w14:val="tx1"/>
            </w14:solidFill>
          </w14:textFill>
        </w:rPr>
        <w:t>全日制法律硕士（非法学）专业学位研究生培养方案</w:t>
      </w:r>
      <w:bookmarkEnd w:id="15"/>
      <w:bookmarkEnd w:id="16"/>
      <w:bookmarkEnd w:id="17"/>
      <w:bookmarkEnd w:id="18"/>
      <w:bookmarkEnd w:id="19"/>
      <w:bookmarkEnd w:id="20"/>
      <w:bookmarkEnd w:id="21"/>
      <w:bookmarkEnd w:id="22"/>
      <w:bookmarkEnd w:id="23"/>
    </w:p>
    <w:p>
      <w:pPr>
        <w:adjustRightInd w:val="0"/>
        <w:snapToGrid w:val="0"/>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(学科或专业代码：035101)</w:t>
      </w:r>
    </w:p>
    <w:p>
      <w:pPr>
        <w:adjustRightInd w:val="0"/>
        <w:snapToGrid w:val="0"/>
        <w:spacing w:line="440" w:lineRule="exact"/>
        <w:ind w:firstLine="480" w:firstLineChars="200"/>
        <w:rPr>
          <w:rFonts w:ascii="仿宋_GB2312" w:hAnsi="仿宋_GB2312"/>
          <w:b/>
          <w:bCs/>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西北师范大学法学教育历史悠久、积淀深厚，著名法学家吴文翰先生在此执教</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1995年设立法学本科专业；2003年获“法学理论”二级学科硕士学位授予权</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2010年9月，经甘肃省学位委员会批准，获得法学一级学科硕士学位授权点；2012年在法律系基础上成立法学院</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2013年法学被评为省重点建设一级学科</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2014年新增法律硕士专业学位授权点和法律发展与地方治理博士点，标志着法学教育进入了一个新的历史阶段。</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本学位点主要为国家尤其是西北地区培养立法、司法、行政执法和法律服务以及各行业领域德才兼备的高层次的复合型、应用型法治人才。</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（一）基本要求</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1.掌握中国特色社会主义理论体系，遵守宪法和法律，德法兼修，具有良好的政治素质和道德品质，遵循法律职业伦理和法律职业道德规范；</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2.全面掌握法学基本理论，特别是社会主义法学基本原理，具备从事法律职业所要求的法律知识、法律术语、法律思维、法律方法和法律技能；</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3.自觉践行社会主义核心价值观，综合运用法律和其他专业知识，具有独立从事法务工作的能力；</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4.熟练掌握一门外语。</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（二）具体要求</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1.全面掌握法律专业知识；</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2.能够运用法律思维分析和解决法律实务问题；</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3.熟练运用法律解释方法，具备在具体案件中进行法律推理的能力；</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4.掌握诉讼主要程序，熟练从事法律事务代理和辩护业务；</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5.熟练从事非诉讼法律实务以及法律事务的组织和管理；</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6.熟练掌握法律文书制作技能。</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1.把知识教育同价值观教育、能力教育结合起来，把思想引导和价值观塑造融入每一门课程教学；</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2.重视和加强实践教学，注重实务能力的培养；</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3.成立导师组，采取集体培养与导师个人负责相结合的指导方式；</w:t>
      </w:r>
    </w:p>
    <w:p>
      <w:pPr>
        <w:spacing w:line="480" w:lineRule="exact"/>
        <w:ind w:firstLine="456"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pacing w:val="-6"/>
          <w:sz w:val="24"/>
          <w14:textFill>
            <w14:solidFill>
              <w14:schemeClr w14:val="tx1"/>
            </w14:solidFill>
          </w14:textFill>
        </w:rPr>
        <w:t>4.加强教学与实践的联系和交流，聘请具有法律实务经验的专家参与教学及培养工作；</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5.必修课考核采取考试和考查两种方式。</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四、本学科所需其它相关（近）学科知识</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仿宋_GB2312" w:hAnsi="仿宋_GB2312"/>
          <w:color w:val="000000" w:themeColor="text1"/>
          <w:sz w:val="24"/>
          <w14:textFill>
            <w14:solidFill>
              <w14:schemeClr w14:val="tx1"/>
            </w14:solidFill>
          </w14:textFill>
        </w:rPr>
        <w:t>社会学、经济学、管理学、政治学、哲学等。</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spacing w:line="480" w:lineRule="exact"/>
        <w:ind w:firstLine="480" w:firstLineChars="200"/>
        <w:rPr>
          <w:rFonts w:ascii="仿宋_GB2312" w:hAnsi="仿宋_GB2312"/>
          <w:b/>
          <w:bCs/>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采用全日制学习方式，</w:t>
      </w:r>
      <w:r>
        <w:rPr>
          <w:rFonts w:hint="eastAsia" w:ascii="仿宋_GB2312" w:hAnsi="仿宋_GB2312"/>
          <w:color w:val="000000" w:themeColor="text1"/>
          <w:sz w:val="24"/>
          <w14:textFill>
            <w14:solidFill>
              <w14:schemeClr w14:val="tx1"/>
            </w14:solidFill>
          </w14:textFill>
        </w:rPr>
        <w:t>基本</w:t>
      </w:r>
      <w:r>
        <w:rPr>
          <w:rFonts w:ascii="仿宋_GB2312" w:hAnsi="仿宋_GB2312"/>
          <w:color w:val="000000" w:themeColor="text1"/>
          <w:sz w:val="24"/>
          <w14:textFill>
            <w14:solidFill>
              <w14:schemeClr w14:val="tx1"/>
            </w14:solidFill>
          </w14:textFill>
        </w:rPr>
        <w:t>学</w:t>
      </w:r>
      <w:r>
        <w:rPr>
          <w:rFonts w:hint="eastAsia" w:ascii="仿宋_GB2312" w:hAnsi="仿宋_GB2312"/>
          <w:color w:val="000000" w:themeColor="text1"/>
          <w:sz w:val="24"/>
          <w14:textFill>
            <w14:solidFill>
              <w14:schemeClr w14:val="tx1"/>
            </w14:solidFill>
          </w14:textFill>
        </w:rPr>
        <w:t>制</w:t>
      </w:r>
      <w:r>
        <w:rPr>
          <w:rFonts w:ascii="仿宋_GB2312" w:hAnsi="仿宋_GB2312"/>
          <w:color w:val="000000" w:themeColor="text1"/>
          <w:sz w:val="24"/>
          <w14:textFill>
            <w14:solidFill>
              <w14:schemeClr w14:val="tx1"/>
            </w14:solidFill>
          </w14:textFill>
        </w:rPr>
        <w:t>3年</w:t>
      </w:r>
      <w:r>
        <w:rPr>
          <w:rFonts w:hint="eastAsia" w:ascii="宋体" w:hAnsi="宋体" w:eastAsia="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因正当理由未能按时完成课程学习、研究任务或参加硕士论文答辩的，经本人提出申请，校内导师签署意见，学院和研究生院同意后，可延长学习年限，</w:t>
      </w:r>
      <w:r>
        <w:rPr>
          <w:rFonts w:hint="eastAsia" w:ascii="宋体" w:hAnsi="宋体" w:eastAsia="宋体" w:cs="宋体"/>
          <w:color w:val="000000" w:themeColor="text1"/>
          <w:sz w:val="24"/>
          <w14:textFill>
            <w14:solidFill>
              <w14:schemeClr w14:val="tx1"/>
            </w14:solidFill>
          </w14:textFill>
        </w:rPr>
        <w:t>最长学习年限5年</w:t>
      </w:r>
      <w:r>
        <w:rPr>
          <w:rFonts w:hint="eastAsia" w:ascii="宋体" w:hAnsi="宋体"/>
          <w:color w:val="000000" w:themeColor="text1"/>
          <w:sz w:val="24"/>
          <w14:textFill>
            <w14:solidFill>
              <w14:schemeClr w14:val="tx1"/>
            </w14:solidFill>
          </w14:textFill>
        </w:rPr>
        <w:t>。</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1.民商法实务。本方向侧重于培养掌握民商事法律理论，熟悉民商事法律规范和实务技能，处理民商事法律事务的高级专门人才。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2.地方立法实务。本方向侧重于培养掌握地方立法理论，熟悉地方立法制度和实务技能，起草规范性法律文件的高级专门人才。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3.财税金融法实务。本方向侧重于培养掌握财税金融法律理论，熟悉财税金融法律规范和实务技能，处理财税金融法律事务的高级专门人才。</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学生应当至少选择</w:t>
      </w:r>
      <w:r>
        <w:rPr>
          <w:rFonts w:ascii="仿宋_GB2312" w:hAnsi="仿宋_GB2312"/>
          <w:color w:val="000000" w:themeColor="text1"/>
          <w:sz w:val="24"/>
          <w14:textFill>
            <w14:solidFill>
              <w14:schemeClr w14:val="tx1"/>
            </w14:solidFill>
          </w14:textFill>
        </w:rPr>
        <w:t>一个主修方向，以此作为学位论文的选题依据。</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总</w:t>
      </w:r>
      <w:r>
        <w:rPr>
          <w:rFonts w:hint="eastAsia" w:ascii="宋体" w:hAnsi="宋体" w:eastAsia="宋体" w:cs="宋体"/>
          <w:color w:val="000000" w:themeColor="text1"/>
          <w:sz w:val="24"/>
          <w14:textFill>
            <w14:solidFill>
              <w14:schemeClr w14:val="tx1"/>
            </w14:solidFill>
          </w14:textFill>
        </w:rPr>
        <w:t>学分不低于75学分。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（一）课程设置（不低于55学分）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课程分为必修课和选修课（含专业选修课和特色方向选修课)。</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1.必修课（33学分）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（1）中国特色社会主义理论与实践研究（2学分）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（2）马克思主义与社会科学方法论（1学分）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（3）外语（3学分）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（4）法律职业伦理（2学分）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（5）法理学（2学分）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（6）中国法制史（2学分）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（7）宪法学（2学分）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（8）民法学（4学分）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（9）刑法学（4学分）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（10）刑事诉讼法学（2学分）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（11）民事诉讼法学（2学分）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（12）行政法与行政诉讼法学（2学分）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（13）经济法学（3学分）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（14）国际法学（2学分）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2.专业选修课（不低于14学分）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（1）外国法制史（2学分）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（2）商法学（2学分）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（3）国际经济法学（2学分）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（4）国际私法学（2学分）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（5）法律前沿（2学分）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（6）环境资源法学（2学分）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（7）法律逻辑（2学分）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（8）法律方法（2学分）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（9）证据法学（2学分）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（10）知识产权法学（2学分）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（11）劳动与社会保障法学（2学分）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（12）法律思想史（2学分）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3．特色方向选修课（不低于8学分）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（2）非诉讼纠纷解决理论与实务（2学分）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（3）婚姻家庭法理论与实务（2学分）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（4）立法学原理（2学分）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（5）地方立法制度与技术（2学分）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（6）地方立法热点与典型案例（2学分）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（7）金融法理论与实务（2学分）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（8）财政法理论与实务（2学分）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（9）税法理论与实务（2学分）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（10）企业与公司法专题（2学分）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（二）实践教学与训练（15学分）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1.法律写作（2学分）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2.法律检索（2学分）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3.模拟法庭、模拟仲裁、模拟调解等（由学校教师负责组织，由法官、检察官、律师等法律实务专家辅助指导）（3学分）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4.法律谈判（2学分）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以上实践训练可采取案例研习、法律诊所等方式进行。</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5.专业实习（6学分）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在第四学期（含暑假）由学院统一组织专业实习，时间六个月，在律师事务所、企事业单位法务部门或司法机关、政府法制部门等分阶段进行。</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定向研究生的实践教学与训练由培养单位和定向单位参照以上要求确定培养、考核方式。</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（三）学位论文（5学分）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八、课程设置与教学计划</w:t>
      </w:r>
      <w:r>
        <w:rPr>
          <w:rFonts w:hint="eastAsia" w:ascii="黑体" w:eastAsia="黑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九、学位论文要求</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学位论文选题应贯彻理论联系实际的原则，论文内容应着眼实际问题、面向法律实务，反映学生运用所学理论与知识综合解决法律实务中的理论和实践问题的能力。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学位论文应以法律实务研究为主要内容，可采用案例分析（针对同一主题的三个以上相关案件进行研究分析）、研究报告、专项调查等形式。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（一）学位论文规范要求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学位论文的写作应当规范并达到以下5个方面要求：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1.选题具有理论和实践意义，题目设计合理；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2.论文应当对同类课题的研究或者实践现状进行梳理和归纳；</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3.论据充分，论证合理，资料完整，文字中能够反映出作者已经充分阅读过一定数量的相关文献资料；</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4.具有研究方法意识，能够采取多样的研究方法，如社会调查与统计方法、社会学分析方法、比较方法、规范实证方法、价值分析方法等；</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5.语言精练，符合写作规范，字数不少于2.5万字。</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（二）论文答辩与学位授予</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学位论文必须由3名本专业具有高级专业技术职务的专家评阅，其中至少一名为法治工作部门专家；学位论文答辩委员</w:t>
      </w:r>
      <w:r>
        <w:rPr>
          <w:rFonts w:ascii="仿宋_GB2312" w:hAnsi="仿宋_GB2312"/>
          <w:color w:val="000000" w:themeColor="text1"/>
          <w:sz w:val="24"/>
          <w14:textFill>
            <w14:solidFill>
              <w14:schemeClr w14:val="tx1"/>
            </w14:solidFill>
          </w14:textFill>
        </w:rPr>
        <w:t>会成员中，应有1至2名法治工作部门专家。符合学位授予条件者，可授予法律硕士专业学位。</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附件：全日制法律硕士（非法学）专业学位研究生课程设置与教学计划表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p>
    <w:p>
      <w:pPr>
        <w:spacing w:line="3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cs="宋体"/>
          <w:color w:val="000000" w:themeColor="text1"/>
          <w:sz w:val="24"/>
          <w14:textFill>
            <w14:solidFill>
              <w14:schemeClr w14:val="tx1"/>
            </w14:solidFill>
          </w14:textFill>
        </w:rPr>
        <w:t>：</w:t>
      </w:r>
    </w:p>
    <w:p>
      <w:pPr>
        <w:spacing w:after="72" w:afterLines="30" w:line="560" w:lineRule="exact"/>
        <w:jc w:val="center"/>
        <w:rPr>
          <w:rFonts w:ascii="黑体" w:hAnsi="黑体" w:eastAsia="黑体" w:cs="Times New Roman"/>
          <w:color w:val="000000" w:themeColor="text1"/>
          <w:kern w:val="0"/>
          <w:sz w:val="30"/>
          <w:szCs w:val="30"/>
          <w14:textFill>
            <w14:solidFill>
              <w14:schemeClr w14:val="tx1"/>
            </w14:solidFill>
          </w14:textFill>
        </w:rPr>
      </w:pPr>
      <w:r>
        <w:rPr>
          <w:rFonts w:hint="eastAsia" w:ascii="黑体" w:hAnsi="黑体" w:eastAsia="黑体" w:cs="Times New Roman"/>
          <w:color w:val="000000" w:themeColor="text1"/>
          <w:kern w:val="0"/>
          <w:sz w:val="30"/>
          <w:szCs w:val="30"/>
          <w14:textFill>
            <w14:solidFill>
              <w14:schemeClr w14:val="tx1"/>
            </w14:solidFill>
          </w14:textFill>
        </w:rPr>
        <w:t>全日制法律硕士（非法学）专业学位研究生课程设置与教学计划表</w:t>
      </w:r>
    </w:p>
    <w:tbl>
      <w:tblPr>
        <w:tblStyle w:val="8"/>
        <w:tblW w:w="9640" w:type="dxa"/>
        <w:jc w:val="center"/>
        <w:tblInd w:w="-64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825"/>
        <w:gridCol w:w="765"/>
        <w:gridCol w:w="972"/>
        <w:gridCol w:w="2319"/>
        <w:gridCol w:w="818"/>
        <w:gridCol w:w="613"/>
        <w:gridCol w:w="628"/>
        <w:gridCol w:w="491"/>
        <w:gridCol w:w="1540"/>
        <w:gridCol w:w="669"/>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1590"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39" w:hRule="exact"/>
          <w:jc w:val="center"/>
        </w:trPr>
        <w:tc>
          <w:tcPr>
            <w:tcW w:w="82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76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Z0051001</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中国特色社会主义理论与实践研究</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62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Z0050005</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pacing w:val="-11"/>
                <w:sz w:val="18"/>
                <w:szCs w:val="18"/>
                <w14:textFill>
                  <w14:solidFill>
                    <w14:schemeClr w14:val="tx1"/>
                  </w14:solidFill>
                </w14:textFill>
              </w:rPr>
              <w:t>马克思主义与社会科学方法论</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pacing w:val="-11"/>
                <w:sz w:val="18"/>
                <w:szCs w:val="18"/>
                <w14:textFill>
                  <w14:solidFill>
                    <w14:schemeClr w14:val="tx1"/>
                  </w14:solidFill>
                </w14:textFill>
              </w:rPr>
            </w:pPr>
            <w:r>
              <w:rPr>
                <w:rFonts w:hint="eastAsia" w:ascii="宋体" w:hAnsi="宋体" w:eastAsia="宋体" w:cs="宋体"/>
                <w:color w:val="000000" w:themeColor="text1"/>
                <w:spacing w:val="-11"/>
                <w:sz w:val="18"/>
                <w:szCs w:val="18"/>
                <w14:textFill>
                  <w14:solidFill>
                    <w14:schemeClr w14:val="tx1"/>
                  </w14:solidFill>
                </w14:textFill>
              </w:rPr>
              <w:t>Z0072702</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pacing w:val="-11"/>
                <w:sz w:val="18"/>
                <w:szCs w:val="18"/>
                <w14:textFill>
                  <w14:solidFill>
                    <w14:schemeClr w14:val="tx1"/>
                  </w14:solidFill>
                </w14:textFill>
              </w:rPr>
            </w:pPr>
            <w:r>
              <w:rPr>
                <w:rFonts w:hint="eastAsia" w:ascii="宋体" w:hAnsi="宋体" w:eastAsia="宋体" w:cs="宋体"/>
                <w:color w:val="000000" w:themeColor="text1"/>
                <w:spacing w:val="-11"/>
                <w:sz w:val="18"/>
                <w:szCs w:val="18"/>
                <w14:textFill>
                  <w14:solidFill>
                    <w14:schemeClr w14:val="tx1"/>
                  </w14:solidFill>
                </w14:textFill>
              </w:rPr>
              <w:t>法科英语（一）</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苏婉儿</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pacing w:val="-11"/>
                <w:sz w:val="18"/>
                <w:szCs w:val="18"/>
                <w14:textFill>
                  <w14:solidFill>
                    <w14:schemeClr w14:val="tx1"/>
                  </w14:solidFill>
                </w14:textFill>
              </w:rPr>
            </w:pPr>
            <w:r>
              <w:rPr>
                <w:rFonts w:hint="eastAsia" w:ascii="宋体" w:hAnsi="宋体" w:eastAsia="宋体" w:cs="宋体"/>
                <w:color w:val="000000" w:themeColor="text1"/>
                <w:spacing w:val="-11"/>
                <w:sz w:val="18"/>
                <w:szCs w:val="18"/>
                <w14:textFill>
                  <w14:solidFill>
                    <w14:schemeClr w14:val="tx1"/>
                  </w14:solidFill>
                </w14:textFill>
              </w:rPr>
              <w:t>Z0072703</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pacing w:val="-11"/>
                <w:sz w:val="18"/>
                <w:szCs w:val="18"/>
                <w14:textFill>
                  <w14:solidFill>
                    <w14:schemeClr w14:val="tx1"/>
                  </w14:solidFill>
                </w14:textFill>
              </w:rPr>
            </w:pPr>
            <w:r>
              <w:rPr>
                <w:rFonts w:hint="eastAsia" w:ascii="宋体" w:hAnsi="宋体" w:eastAsia="宋体" w:cs="宋体"/>
                <w:color w:val="000000" w:themeColor="text1"/>
                <w:spacing w:val="-11"/>
                <w:sz w:val="18"/>
                <w:szCs w:val="18"/>
                <w14:textFill>
                  <w14:solidFill>
                    <w14:schemeClr w14:val="tx1"/>
                  </w14:solidFill>
                </w14:textFill>
              </w:rPr>
              <w:t>法科英语（二）</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18</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苏婉儿</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Z0073029</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法理学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 苏婉儿</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Z0073019</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中国法制史</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田庆锋 金  怡</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8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Z0073020</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宪法学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勇 王宏英</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9"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Z0073030</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民法学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72</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 吴国喆</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9"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Z0073031</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刑法学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72</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党崇武</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Z0073023</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刑事诉讼法学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柴晓宇 李  瑾</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09"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Z0073024</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民事诉讼法学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杜睿哲 张国文</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7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Z0073028</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法律职业伦理</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勇</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2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Z0073032</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行政法与行政诉讼法学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齐建辉 曹亚斌</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29"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Z0073033</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经济法学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Z0073034</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 张  敏</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76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Z0074027</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外国法制史</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明</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Z0074013</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法律方法</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Z0074033</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法律逻辑</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张继文</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Z0074034</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证据法学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  芸 柴晓宇</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Z0074035</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劳动与社会保障法学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牛绿花</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Z0074036</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法律思想史</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苏婉儿</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Z0074037</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国际私法学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Z0074038</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环境资源法学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  怡</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Z0074028</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李玉璧</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Z0074039</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国际经济法学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蔡  芳</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Z0074040</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知识产权法学</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9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特</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色</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方</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向</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w:t>
            </w: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Z0074042</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金融法理论与实务</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Z0074043</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合同法理论与实务</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Z0074044</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非诉讼纠纷解决理论与实务</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瑾</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Z0074045</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婚姻家庭法理论与实务</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泉</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Z0074046</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立法学原理</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Z0074048</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地方立法热点与典型案例</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明</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Z0074049</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地方立法制度与技术</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Z0074065</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财政法理论与实务</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付</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 xml:space="preserve"> 音</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Z0074066</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税法理论与实务</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蔡  芳</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82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765"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Z0074020</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企业与公司法专题</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泉</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590"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实</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践</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教</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学</w:t>
            </w: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Z0075008</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法律检索</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590"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Z0075010</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模拟法庭等</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590"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Z0075012</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半年</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590"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Z0075011</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法律谈判</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590"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972"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Z0075009</w:t>
            </w:r>
          </w:p>
        </w:tc>
        <w:tc>
          <w:tcPr>
            <w:tcW w:w="2319"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法律写作</w:t>
            </w:r>
          </w:p>
        </w:tc>
        <w:tc>
          <w:tcPr>
            <w:tcW w:w="81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1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49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0"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9"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4" w:hRule="exact"/>
          <w:jc w:val="center"/>
        </w:trPr>
        <w:tc>
          <w:tcPr>
            <w:tcW w:w="1590"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总学分</w:t>
            </w:r>
          </w:p>
        </w:tc>
        <w:tc>
          <w:tcPr>
            <w:tcW w:w="8050"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不低于75学分</w:t>
            </w:r>
          </w:p>
        </w:tc>
      </w:tr>
    </w:tbl>
    <w:p>
      <w:pPr>
        <w:ind w:firstLine="420" w:firstLineChars="200"/>
        <w:rPr>
          <w:rFonts w:ascii="宋体" w:hAnsi="宋体" w:eastAsia="宋体" w:cs="宋体"/>
          <w:color w:val="000000" w:themeColor="text1"/>
          <w:szCs w:val="21"/>
          <w14:textFill>
            <w14:solidFill>
              <w14:schemeClr w14:val="tx1"/>
            </w14:solidFill>
          </w14:textFill>
        </w:rPr>
      </w:pPr>
    </w:p>
    <w:p>
      <w:pPr>
        <w:widowControl/>
        <w:jc w:val="left"/>
        <w:rPr>
          <w:rFonts w:ascii="仿宋_GB2312" w:hAnsi="仿宋_GB2312" w:eastAsia="仿宋_GB2312" w:cs="仿宋_GB2312"/>
          <w:vanish/>
          <w:color w:val="000000" w:themeColor="text1"/>
          <w:kern w:val="0"/>
          <w:sz w:val="18"/>
          <w:szCs w:val="18"/>
          <w14:textFill>
            <w14:solidFill>
              <w14:schemeClr w14:val="tx1"/>
            </w14:solidFill>
          </w14:textFill>
        </w:rPr>
      </w:pPr>
    </w:p>
    <w:p>
      <w:pPr>
        <w:spacing w:after="120" w:afterLines="50" w:line="360" w:lineRule="auto"/>
        <w:rPr>
          <w:rFonts w:eastAsia="宋体"/>
          <w:color w:val="000000" w:themeColor="text1"/>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pPr>
    </w:p>
    <w:p>
      <w:pPr>
        <w:spacing w:before="120" w:beforeLines="50" w:after="240" w:afterLines="100" w:line="560" w:lineRule="exact"/>
        <w:rPr>
          <w:rFonts w:ascii="华文中宋" w:hAnsi="华文中宋" w:eastAsia="华文中宋" w:cs="华文中宋"/>
          <w:b/>
          <w:bCs/>
          <w:color w:val="000000" w:themeColor="text1"/>
          <w:sz w:val="36"/>
          <w:szCs w:val="36"/>
          <w14:textFill>
            <w14:solidFill>
              <w14:schemeClr w14:val="tx1"/>
            </w14:solidFill>
          </w14:textFill>
        </w:rPr>
        <w:sectPr>
          <w:headerReference r:id="rId6" w:type="default"/>
          <w:type w:val="continuous"/>
          <w:pgSz w:w="11906" w:h="16838"/>
          <w:pgMar w:top="1701" w:right="1474" w:bottom="1418" w:left="1418" w:header="1191" w:footer="1021" w:gutter="0"/>
          <w:pgNumType w:fmt="decimal"/>
          <w:cols w:space="0" w:num="1"/>
          <w:docGrid w:linePitch="317" w:charSpace="0"/>
        </w:sectPr>
      </w:pPr>
    </w:p>
    <w:p>
      <w:pPr>
        <w:pStyle w:val="2"/>
        <w:spacing w:before="120"/>
        <w:rPr>
          <w:color w:val="000000" w:themeColor="text1"/>
          <w14:textFill>
            <w14:solidFill>
              <w14:schemeClr w14:val="tx1"/>
            </w14:solidFill>
          </w14:textFill>
        </w:rPr>
        <w:sectPr>
          <w:headerReference r:id="rId7" w:type="default"/>
          <w:type w:val="continuous"/>
          <w:pgSz w:w="11906" w:h="16838"/>
          <w:pgMar w:top="1701" w:right="1474" w:bottom="1418" w:left="1418" w:header="1191" w:footer="1021" w:gutter="0"/>
          <w:pgNumType w:fmt="decimal"/>
          <w:cols w:space="0" w:num="1"/>
          <w:docGrid w:linePitch="317" w:charSpace="0"/>
        </w:sectPr>
      </w:pPr>
      <w:bookmarkStart w:id="24" w:name="_Toc9041"/>
      <w:bookmarkStart w:id="25" w:name="_Toc13724"/>
      <w:bookmarkStart w:id="26" w:name="_Toc15890"/>
      <w:bookmarkStart w:id="27" w:name="_Toc24683"/>
      <w:bookmarkStart w:id="28" w:name="_Toc6698"/>
      <w:bookmarkStart w:id="29" w:name="_Toc29644"/>
      <w:bookmarkStart w:id="30" w:name="_Toc17159"/>
    </w:p>
    <w:p>
      <w:pPr>
        <w:pStyle w:val="2"/>
        <w:spacing w:before="120"/>
        <w:rPr>
          <w:color w:val="000000" w:themeColor="text1"/>
          <w14:textFill>
            <w14:solidFill>
              <w14:schemeClr w14:val="tx1"/>
            </w14:solidFill>
          </w14:textFill>
        </w:rPr>
      </w:pPr>
      <w:bookmarkStart w:id="31" w:name="_Toc527397039"/>
      <w:bookmarkStart w:id="32" w:name="_Toc29210"/>
      <w:r>
        <w:rPr>
          <w:rFonts w:hint="eastAsia"/>
          <w:color w:val="000000" w:themeColor="text1"/>
          <w14:textFill>
            <w14:solidFill>
              <w14:schemeClr w14:val="tx1"/>
            </w14:solidFill>
          </w14:textFill>
        </w:rPr>
        <w:t>非全日制法律硕士（非法学）专业学位研究生培养方案</w:t>
      </w:r>
      <w:bookmarkEnd w:id="24"/>
      <w:bookmarkEnd w:id="25"/>
      <w:bookmarkEnd w:id="26"/>
      <w:bookmarkEnd w:id="27"/>
      <w:bookmarkEnd w:id="28"/>
      <w:bookmarkEnd w:id="29"/>
      <w:bookmarkEnd w:id="30"/>
      <w:bookmarkEnd w:id="31"/>
      <w:bookmarkEnd w:id="32"/>
    </w:p>
    <w:p>
      <w:pPr>
        <w:adjustRightInd w:val="0"/>
        <w:snapToGrid w:val="0"/>
        <w:spacing w:after="240" w:afterLines="100" w:line="520" w:lineRule="exact"/>
        <w:jc w:val="center"/>
        <w:rPr>
          <w:rFonts w:ascii="楷体_GB2312" w:hAnsi="楷体_GB2312" w:eastAsia="楷体_GB2312" w:cs="楷体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(学科或专业代码：035101)</w:t>
      </w:r>
    </w:p>
    <w:p>
      <w:pPr>
        <w:adjustRightInd w:val="0"/>
        <w:snapToGrid w:val="0"/>
        <w:spacing w:line="440" w:lineRule="exact"/>
        <w:ind w:firstLine="480" w:firstLineChars="200"/>
        <w:rPr>
          <w:rFonts w:ascii="仿宋_GB2312" w:hAnsi="仿宋_GB2312"/>
          <w:b/>
          <w:bCs/>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adjustRightInd w:val="0"/>
        <w:snapToGrid w:val="0"/>
        <w:spacing w:line="440" w:lineRule="exact"/>
        <w:ind w:firstLine="540" w:firstLineChars="225"/>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西北师范大学法学教育历史悠久、积淀深厚，著名法学家吴文翰先生在此执教</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1995年设立法学本科专业；2003年获“法学理论”二级学科硕士学位授予权</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2010年9月，经甘肃省学位委员会批准，获得法学一级学科硕士学位授权点；2012年在法律系基础上成立法学院</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2013年法学被评为省重点建设一级学科</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2014年新增法律硕士专业学位授权点和法律发展与地方治理博士点，标志着法学教育进入了一个新的历史阶段。</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本学位点主要为国家尤其是西北地区培养立法、司法、行政执法和法律服务以及各行业领域德才兼备的高层次的复合型、应用型法治人才。</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（一）基本要求</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1.掌握中国特色社会主义理论体系，遵守宪法和法律，德法兼修，具有良好的政治素质和道德品质，遵循法律职业伦理和法律职业道德规范；</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2.全面掌握法学基本理论，特别是社会主义法学基本原理，具备从事法律职业所要求的法律知识、法律术语、法律思维、法律方法和法律技能；</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3.自觉践行社会主义核心价值观，综合运用法律和其他专业知识，具有独立从事法务工作的能力；</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4.熟练掌握一门外语。</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（二）具体要求</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1.全面掌握法律专业知识；</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2.能够运用法律思维分析和解决法律实务问题；</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3.熟练运用法律解释方法，具备在具体案件中进行法律推理的能力；</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4.掌握诉讼主要程序，熟练从事法律事务代理和辩护业务；</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5.熟练从事非诉讼法律实务以及法律事务的组织和管理；</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6.熟练掌握法律文书制作技能。</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adjustRightInd w:val="0"/>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严格教学管理。教学方式以集中课堂授课为主，结合自学、专题讲座、网授、学习笔记、平时作业等多种形式进行。在每门课程集中授课结束后，由任课教师布置自学内容、延伸讨论问题、阅读文献、课程作业、学习笔记等课外学习任务。下次集中授课时向任课教师提交不少于1万字的学习笔记（学习笔记为手写或打印版，内容包含读书报告、学术报告或学术讲座记录感想、法律实践经验总结等）和课程作业，任课教师检查合格后签名确认。</w:t>
      </w:r>
    </w:p>
    <w:p>
      <w:pPr>
        <w:adjustRightInd w:val="0"/>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行导师负责制，采取导师组集体培养与导师个人负责相结合的指导方式。校内导师是研究生日常培养管理的第一责任人。在入学后1个月之内从校内导师组之中遵循“双向选择、总量控制”的原则为研究生确定1名导师。导师对学生的指导每月不得少于1次，指导形式可以灵活多样，应当为学生制定课外阅读计划，辅助课堂教学，并督促其完成。</w:t>
      </w:r>
    </w:p>
    <w:p>
      <w:pPr>
        <w:adjustRightInd w:val="0"/>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3.重视和加强实践教学，加强实务能力的培养；采取专题讲授、课堂讨论、案例分析等灵活多样的教学方法，积极探索和创新研究生教学模式。</w:t>
      </w:r>
    </w:p>
    <w:p>
      <w:pPr>
        <w:adjustRightInd w:val="0"/>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4.加强教学与实践的联系和交流，聘请具有法律实务经验的专家参与教学及培养工作，构建协作创新、共同培育德法兼修高素质法治人才的长效机制。</w:t>
      </w:r>
    </w:p>
    <w:p>
      <w:pPr>
        <w:adjustRightInd w:val="0"/>
        <w:snapToGrid w:val="0"/>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课程考核采取考试和考查两种方式。考核成绩由集中授课考试成绩和读书笔记、平时作业成绩构成，其中笔试占60%，读书笔记和平时作业占40%。考试的具体方式有：笔试、口试、笔试+口试、撰写学术论文、案例分析报告等；凡采用口试方式的，均应有口试记录。</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四、本学科所需其它相关（近）学科知识</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仿宋_GB2312" w:hAnsi="仿宋_GB2312"/>
          <w:color w:val="000000" w:themeColor="text1"/>
          <w:sz w:val="24"/>
          <w14:textFill>
            <w14:solidFill>
              <w14:schemeClr w14:val="tx1"/>
            </w14:solidFill>
          </w14:textFill>
        </w:rPr>
        <w:t>社会学、经济学、管理学、政治学、哲学等</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原则上采用非全日制学习方式，基本学制3年。因正当理由未能按时完成课程学习、研究任务或参加硕士论文答辩的，经本人提出申请，校内导师签署意见，学院和研究生院同意后，可延长学习年限，最长学习年限5年。</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1.民商法实务。本方向侧重于培养掌握民商事法律理论，熟悉民商事法律规范和实务技能，处理民商事法律事务的高级专门人才。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2.地方立法实务。本方向侧重于培养掌握地方立法理论，熟悉地方立法制度和实务技能，起草规范性法律文件的高级专门人才。</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3.财税金融法实务。本方向侧重于培养掌握财税金融法律理论，熟悉财税金融法律规范和实务技能，处理财税金融法律事务的高级专门人才。</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学生应当至少选择一个主修</w:t>
      </w:r>
      <w:r>
        <w:rPr>
          <w:rFonts w:ascii="仿宋_GB2312" w:hAnsi="仿宋_GB2312"/>
          <w:color w:val="000000" w:themeColor="text1"/>
          <w:sz w:val="24"/>
          <w14:textFill>
            <w14:solidFill>
              <w14:schemeClr w14:val="tx1"/>
            </w14:solidFill>
          </w14:textFill>
        </w:rPr>
        <w:t>方向，以此作为学位论文的选题依据。</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总学分不低于75学分。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（一）课程设置（不低于55学分）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课程分为必修课和选修课（含专业选修课和特色方向选修课)。</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1.必修课（33学分）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（1）中国特色社会主义理论与实践研究（2学分）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（2）马克思主义与社会科学方法论（1学分）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（3）外语（3学分）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（4）法律职业伦理（2学分）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（5）法理学（2学分）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（6）中国法制史（2学分）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（7）宪法学（2学分）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（8）民法学（4学分）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（9）刑法学（4学分）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（10）刑事诉讼法学（2学分）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（11）民事诉讼法学（2学分）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（12）行政法与行政诉讼法学（2学分）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（13）经济法学（3学分）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（14）国际法学（2学分）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2.专业选修课（不低于14学分）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（1）外国法制史（2学分）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（2）商法学（2学分）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（3）国际经济法学（2学分）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（4）国际私法学（2学分）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（5）法律前沿（2学分）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（6）环境资源法学（2学分）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（7）法律逻辑（2学分）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（8）法律方法（2学分）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（9）证据法学（2学分）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（10）知识产权法学（2学分）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（11）劳动与社会保障法学（2学分）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（12）法律思想史（2学分）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3．特色方向选修课（不低于8学分）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（2）非诉讼纠纷解决理论与实务（2学分）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（3）婚姻家庭法理论与实务（2学分）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（4）立法学原理（2学分）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（5）地方立法制度与技术（2学分）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（6）地方立法热点与典型案例（2学分）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（7）金融法理论与实务（2学分）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（8）财政法理论与实务（2学分）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（9）税法理论与实务（2学分）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（10）企业与公司法专题（2学分）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（二）实践教学与训练（15学分）</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1.法律写作（2学分）</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2.法律检索（2学分）</w:t>
      </w:r>
    </w:p>
    <w:p>
      <w:pPr>
        <w:spacing w:line="480" w:lineRule="exact"/>
        <w:ind w:left="239" w:leftChars="114"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3.模拟法庭、模拟仲裁、模拟调解等（由学校教师负责组织，由法官、检察官、律师等法律实务专家辅助指导）（3学分）</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4.法律谈判（2学分）</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以上实践训练可采取案例研习、法律诊所等方式进行。</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5.专业实习（6学分）</w:t>
      </w:r>
    </w:p>
    <w:p>
      <w:pPr>
        <w:spacing w:line="480" w:lineRule="exact"/>
        <w:ind w:left="239" w:leftChars="114"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在第四学期（含暑假）由学院统一组织专业实习，时间不少于六个月，在律师事务所、企事业单位法务部门或司法机关、政府法制部门等分阶段进行。</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定向研究生的实践教学与训练由学校和定向单位具体协商确定培养、考核方式。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（三）学位论文（5学分）</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八、课程设置与教学计划</w:t>
      </w:r>
      <w:r>
        <w:rPr>
          <w:rFonts w:hint="eastAsia" w:ascii="黑体" w:eastAsia="黑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九、学位论文要求</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学位论文选题应贯彻理论联系实际的原则，论文内容应着眼实际问题、面向法律实务，反映学生运用所学理论与知识综合解决法律实务中的理论和实践问题的能力。</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ascii="仿宋_GB2312" w:hAnsi="仿宋_GB2312"/>
          <w:color w:val="000000" w:themeColor="text1"/>
          <w:sz w:val="24"/>
          <w14:textFill>
            <w14:solidFill>
              <w14:schemeClr w14:val="tx1"/>
            </w14:solidFill>
          </w14:textFill>
        </w:rPr>
        <w:t>学位论文应以法律实务研究为主要内容，可采用案例分析（针对同一主题的三个以上相关案件进行研究分析）、研究报告、专项调查等形式。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（一）学位论文规范要求</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学位论文的写作应当规范并达到以下5个方面要求：</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1.选题具有理论和实践意义，题目设计合理；</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2.论文应当对同类课题的研究或者实践现状进行梳理和归纳；</w:t>
      </w:r>
    </w:p>
    <w:p>
      <w:pPr>
        <w:spacing w:line="480" w:lineRule="exact"/>
        <w:ind w:left="239" w:leftChars="114"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3.论据充分，论证合理，资料完整，文字中能够反映出作者已经充分阅读过一定数量的相关文献资料；</w:t>
      </w:r>
    </w:p>
    <w:p>
      <w:pPr>
        <w:spacing w:line="480" w:lineRule="exact"/>
        <w:ind w:left="239" w:leftChars="114"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4.具有研究方法意识，能够采取多样的研究方法，如社会调查与统计方法、社会学分析方法、比较方法、规范实证方法、价值分析方法等；</w:t>
      </w:r>
    </w:p>
    <w:p>
      <w:pPr>
        <w:spacing w:line="480" w:lineRule="exact"/>
        <w:ind w:firstLine="720" w:firstLineChars="3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5.语言精练，符合写作规范，字数不少于2.5万字。</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（二）论文答辩与学位授予</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学位论文必须由3名本专业具有高级专业技术职务的专家评阅，其中至少一名为法治工作部门专家；学位论文答辩</w:t>
      </w:r>
      <w:r>
        <w:rPr>
          <w:rFonts w:ascii="仿宋_GB2312" w:hAnsi="仿宋_GB2312"/>
          <w:color w:val="000000" w:themeColor="text1"/>
          <w:sz w:val="24"/>
          <w14:textFill>
            <w14:solidFill>
              <w14:schemeClr w14:val="tx1"/>
            </w14:solidFill>
          </w14:textFill>
        </w:rPr>
        <w:t>委员会成员中，应有1至2名法治工作部门专家。符合学位授予条件者，可授予法律硕士专业学位。</w:t>
      </w:r>
    </w:p>
    <w:p>
      <w:pPr>
        <w:spacing w:line="480" w:lineRule="exact"/>
        <w:rPr>
          <w:rFonts w:ascii="宋体" w:hAnsi="宋体" w:eastAsia="宋体" w:cs="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cs="宋体"/>
          <w:color w:val="000000" w:themeColor="text1"/>
          <w:sz w:val="24"/>
          <w14:textFill>
            <w14:solidFill>
              <w14:schemeClr w14:val="tx1"/>
            </w14:solidFill>
          </w14:textFill>
        </w:rPr>
        <w:t>非全日制</w:t>
      </w:r>
      <w:r>
        <w:rPr>
          <w:rFonts w:hint="eastAsia" w:ascii="宋体" w:hAnsi="宋体" w:eastAsia="宋体" w:cs="宋体"/>
          <w:color w:val="000000" w:themeColor="text1"/>
          <w:sz w:val="24"/>
          <w14:textFill>
            <w14:solidFill>
              <w14:schemeClr w14:val="tx1"/>
            </w14:solidFill>
          </w14:textFill>
        </w:rPr>
        <w:t>法律硕士（非法学）专业学位研究生课程设置与教学计划表</w:t>
      </w:r>
    </w:p>
    <w:p>
      <w:pPr>
        <w:spacing w:line="480" w:lineRule="exact"/>
        <w:ind w:firstLine="480" w:firstLineChars="200"/>
        <w:rPr>
          <w:rFonts w:ascii="仿宋_GB2312" w:hAnsi="仿宋_GB2312"/>
          <w:b/>
          <w:bCs/>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r>
        <w:rPr>
          <w:rFonts w:ascii="仿宋_GB2312" w:hAnsi="仿宋_GB2312"/>
          <w:b/>
          <w:bCs/>
          <w:color w:val="000000" w:themeColor="text1"/>
          <w14:textFill>
            <w14:solidFill>
              <w14:schemeClr w14:val="tx1"/>
            </w14:solidFill>
          </w14:textFill>
        </w:rPr>
        <w:br w:type="page"/>
      </w:r>
    </w:p>
    <w:p>
      <w:pPr>
        <w:spacing w:line="340" w:lineRule="exact"/>
        <w:ind w:left="-160" w:leftChars="-76"/>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cs="宋体"/>
          <w:color w:val="000000" w:themeColor="text1"/>
          <w:sz w:val="24"/>
          <w14:textFill>
            <w14:solidFill>
              <w14:schemeClr w14:val="tx1"/>
            </w14:solidFill>
          </w14:textFill>
        </w:rPr>
        <w:t>：</w:t>
      </w:r>
    </w:p>
    <w:p>
      <w:pPr>
        <w:spacing w:after="72" w:afterLines="30" w:line="520" w:lineRule="exact"/>
        <w:jc w:val="center"/>
        <w:rPr>
          <w:rFonts w:ascii="黑体" w:hAnsi="黑体" w:eastAsia="黑体" w:cs="Times New Roman"/>
          <w:color w:val="000000" w:themeColor="text1"/>
          <w:spacing w:val="-6"/>
          <w:kern w:val="0"/>
          <w:sz w:val="30"/>
          <w:szCs w:val="30"/>
          <w14:textFill>
            <w14:solidFill>
              <w14:schemeClr w14:val="tx1"/>
            </w14:solidFill>
          </w14:textFill>
        </w:rPr>
      </w:pPr>
      <w:r>
        <w:rPr>
          <w:rFonts w:hint="eastAsia" w:ascii="黑体" w:hAnsi="黑体" w:eastAsia="黑体" w:cs="Times New Roman"/>
          <w:color w:val="000000" w:themeColor="text1"/>
          <w:spacing w:val="-6"/>
          <w:kern w:val="0"/>
          <w:sz w:val="30"/>
          <w:szCs w:val="30"/>
          <w14:textFill>
            <w14:solidFill>
              <w14:schemeClr w14:val="tx1"/>
            </w14:solidFill>
          </w14:textFill>
        </w:rPr>
        <w:t>非全日制法律硕士（非法学）专业学位研究生课程设置与教学计划表</w:t>
      </w:r>
    </w:p>
    <w:tbl>
      <w:tblPr>
        <w:tblStyle w:val="8"/>
        <w:tblW w:w="9805" w:type="dxa"/>
        <w:jc w:val="center"/>
        <w:tblInd w:w="-23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10"/>
        <w:gridCol w:w="679"/>
        <w:gridCol w:w="1024"/>
        <w:gridCol w:w="2655"/>
        <w:gridCol w:w="748"/>
        <w:gridCol w:w="673"/>
        <w:gridCol w:w="821"/>
        <w:gridCol w:w="528"/>
        <w:gridCol w:w="1514"/>
        <w:gridCol w:w="6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4" w:hRule="exact"/>
          <w:jc w:val="center"/>
        </w:trPr>
        <w:tc>
          <w:tcPr>
            <w:tcW w:w="1189" w:type="dxa"/>
            <w:gridSpan w:val="2"/>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4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30" w:hRule="atLeast"/>
          <w:jc w:val="center"/>
        </w:trPr>
        <w:tc>
          <w:tcPr>
            <w:tcW w:w="51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67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公</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共</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Z0051001</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中国特色社会主义理论与实践研究</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5"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Z0050005</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马克思主义与社会科学方法论</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必</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w w:val="90"/>
                <w:sz w:val="18"/>
                <w:szCs w:val="18"/>
                <w14:textFill>
                  <w14:solidFill>
                    <w14:schemeClr w14:val="tx1"/>
                  </w14:solidFill>
                </w14:textFill>
              </w:rPr>
            </w:pPr>
            <w:r>
              <w:rPr>
                <w:rFonts w:hint="eastAsia" w:ascii="宋体" w:hAnsi="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Z0072701</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法科英语</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45</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苏婉儿</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Z0073029</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法理学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 苏婉儿</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Z0073019</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中国法制史</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田庆锋 金  怡</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Z0073020</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宪法学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勇 王宏英</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Z0073030</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民法学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 吴国喆</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Z0073031</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刑法学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党崇武</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Z0073023</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刑事诉讼法学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柴晓宇 李  瑾</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Z0073024</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民事诉讼法学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杜睿哲 张国文</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Z0073028</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法律职业伦理</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勇</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Z0073032</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行政法与行政诉讼法学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齐建辉 曹亚斌</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Z0073033</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经济法学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45</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Z0073034</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 张  敏</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67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Z0074027</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外国法制史</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明</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Z0074013</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法律方法</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Z0074033</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法律逻辑</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张继文</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Z0074034</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证据法学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  芸 柴晓宇</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Z0074035</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劳动与社会保障法学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牛绿花</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Z0074036</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法律思想史</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苏婉儿</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Z0074037</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国际私法学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Z0074038</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环境资源法学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  怡</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Z0074028</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李玉璧</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Z0074039</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国际经济法学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蔡  芳</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Z0074040</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知识产权法学</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特</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色</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方</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向</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Z0074042</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金融法理论与实务</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Z0074043</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合同法理论与实务</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Z0074044</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非诉讼纠纷解决理论与实务</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瑾</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Z0074045</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婚姻家庭法理论与实务</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泉</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Z0074046</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立法学原理</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Z0074048</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地方立法热点与典型案例</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明</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Z0074049</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地方立法制度与技术</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Z0074065</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财政法理论与实务</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付</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音</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Z0074066</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税法理论与实务</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蔡  芳</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510"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79" w:type="dxa"/>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Z0074020</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企业与公司法专题</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泉</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1189"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实</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践</w:t>
            </w:r>
          </w:p>
          <w:p>
            <w:pPr>
              <w:keepNext w:val="0"/>
              <w:keepLines w:val="0"/>
              <w:suppressLineNumbers w:val="0"/>
              <w:adjustRightInd w:val="0"/>
              <w:spacing w:before="0" w:beforeAutospacing="0" w:after="0" w:afterAutospacing="0" w:line="24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教</w:t>
            </w:r>
          </w:p>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学</w:t>
            </w: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Z0075008</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法律检索</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118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Z0075010</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模拟法庭等</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45</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118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Z0075012</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6个月</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118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Z0075011</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法律谈判</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1189"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2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Z0075009</w:t>
            </w:r>
          </w:p>
        </w:tc>
        <w:tc>
          <w:tcPr>
            <w:tcW w:w="2655" w:type="dxa"/>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法律写作</w:t>
            </w:r>
          </w:p>
        </w:tc>
        <w:tc>
          <w:tcPr>
            <w:tcW w:w="74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7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821"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528"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14"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53" w:type="dxa"/>
            <w:tcBorders>
              <w:tl2br w:val="nil"/>
              <w:tr2bl w:val="nil"/>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20" w:hRule="atLeast"/>
          <w:jc w:val="center"/>
        </w:trPr>
        <w:tc>
          <w:tcPr>
            <w:tcW w:w="1189" w:type="dxa"/>
            <w:gridSpan w:val="2"/>
            <w:tcBorders>
              <w:tl2br w:val="nil"/>
              <w:tr2bl w:val="nil"/>
            </w:tcBorders>
            <w:vAlign w:val="center"/>
          </w:tcPr>
          <w:p>
            <w:pPr>
              <w:keepNext w:val="0"/>
              <w:keepLines w:val="0"/>
              <w:suppressLineNumbers w:val="0"/>
              <w:adjustRightInd w:val="0"/>
              <w:spacing w:before="0" w:beforeAutospacing="0" w:after="0" w:afterAutospacing="0" w:line="24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总学分</w:t>
            </w:r>
          </w:p>
        </w:tc>
        <w:tc>
          <w:tcPr>
            <w:tcW w:w="8616" w:type="dxa"/>
            <w:gridSpan w:val="8"/>
            <w:tcBorders>
              <w:tl2br w:val="nil"/>
              <w:tr2bl w:val="nil"/>
            </w:tcBorders>
            <w:vAlign w:val="center"/>
          </w:tcPr>
          <w:p>
            <w:pPr>
              <w:keepNext w:val="0"/>
              <w:keepLines w:val="0"/>
              <w:suppressLineNumbers w:val="0"/>
              <w:spacing w:before="0" w:beforeAutospacing="0" w:after="0" w:afterAutospacing="0" w:line="24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不低于75学分</w:t>
            </w:r>
          </w:p>
        </w:tc>
      </w:tr>
    </w:tbl>
    <w:p>
      <w:pPr>
        <w:ind w:firstLine="420" w:firstLineChars="200"/>
        <w:rPr>
          <w:rFonts w:ascii="宋体" w:hAnsi="宋体" w:eastAsia="宋体" w:cs="宋体"/>
          <w:color w:val="000000" w:themeColor="text1"/>
          <w:szCs w:val="21"/>
          <w14:textFill>
            <w14:solidFill>
              <w14:schemeClr w14:val="tx1"/>
            </w14:solidFill>
          </w14:textFill>
        </w:rPr>
      </w:pPr>
    </w:p>
    <w:p>
      <w:pPr>
        <w:widowControl/>
        <w:jc w:val="left"/>
        <w:rPr>
          <w:rFonts w:ascii="仿宋_GB2312" w:hAnsi="仿宋_GB2312" w:eastAsia="仿宋_GB2312" w:cs="仿宋_GB2312"/>
          <w:vanish/>
          <w:color w:val="000000" w:themeColor="text1"/>
          <w:kern w:val="0"/>
          <w:sz w:val="18"/>
          <w:szCs w:val="18"/>
          <w14:textFill>
            <w14:solidFill>
              <w14:schemeClr w14:val="tx1"/>
            </w14:solidFill>
          </w14:textFill>
        </w:rPr>
      </w:pPr>
    </w:p>
    <w:p>
      <w:pPr>
        <w:spacing w:after="120" w:afterLines="50" w:line="360" w:lineRule="auto"/>
        <w:rPr>
          <w:rFonts w:eastAsia="宋体"/>
          <w:color w:val="000000" w:themeColor="text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pPr>
    </w:p>
    <w:p>
      <w:pPr>
        <w:spacing w:line="320" w:lineRule="exact"/>
        <w:ind w:firstLine="420" w:firstLineChars="200"/>
        <w:rPr>
          <w:rFonts w:ascii="宋体" w:hAnsi="宋体" w:eastAsia="宋体" w:cs="宋体"/>
          <w:color w:val="000000" w:themeColor="text1"/>
          <w:szCs w:val="21"/>
          <w14:textFill>
            <w14:solidFill>
              <w14:schemeClr w14:val="tx1"/>
            </w14:solidFill>
          </w14:textFill>
        </w:rPr>
        <w:sectPr>
          <w:pgSz w:w="11906" w:h="16838"/>
          <w:pgMar w:top="1701" w:right="1474" w:bottom="1418" w:left="1418" w:header="1191" w:footer="1021" w:gutter="0"/>
          <w:pgNumType w:fmt="decimal"/>
          <w:cols w:space="0" w:num="1"/>
          <w:docGrid w:linePitch="317" w:charSpace="0"/>
        </w:sectPr>
      </w:pPr>
    </w:p>
    <w:p>
      <w:pPr>
        <w:pStyle w:val="2"/>
        <w:spacing w:before="120"/>
        <w:rPr>
          <w:color w:val="000000" w:themeColor="text1"/>
          <w14:textFill>
            <w14:solidFill>
              <w14:schemeClr w14:val="tx1"/>
            </w14:solidFill>
          </w14:textFill>
        </w:rPr>
      </w:pPr>
      <w:bookmarkStart w:id="33" w:name="_Toc527397040"/>
      <w:bookmarkStart w:id="34" w:name="_Toc6697"/>
      <w:bookmarkStart w:id="35" w:name="_Toc7337"/>
      <w:bookmarkStart w:id="36" w:name="_Toc1645"/>
      <w:bookmarkStart w:id="37" w:name="_Toc17241"/>
      <w:bookmarkStart w:id="38" w:name="_Toc10257"/>
      <w:bookmarkStart w:id="39" w:name="_Toc11269"/>
      <w:bookmarkStart w:id="40" w:name="_Toc3018"/>
      <w:bookmarkStart w:id="41" w:name="_Toc28813"/>
      <w:r>
        <w:rPr>
          <w:rFonts w:hint="eastAsia"/>
          <w:color w:val="000000" w:themeColor="text1"/>
          <w14:textFill>
            <w14:solidFill>
              <w14:schemeClr w14:val="tx1"/>
            </w14:solidFill>
          </w14:textFill>
        </w:rPr>
        <w:t>全日制法律硕士（法学）专业学位研究生培养方案</w:t>
      </w:r>
      <w:bookmarkEnd w:id="33"/>
      <w:bookmarkEnd w:id="34"/>
      <w:bookmarkEnd w:id="35"/>
      <w:bookmarkEnd w:id="36"/>
      <w:bookmarkEnd w:id="37"/>
      <w:bookmarkEnd w:id="38"/>
      <w:bookmarkEnd w:id="39"/>
      <w:bookmarkEnd w:id="40"/>
      <w:bookmarkEnd w:id="41"/>
    </w:p>
    <w:p>
      <w:pPr>
        <w:adjustRightInd w:val="0"/>
        <w:snapToGrid w:val="0"/>
        <w:spacing w:after="240" w:afterLines="100" w:line="520" w:lineRule="exact"/>
        <w:jc w:val="center"/>
        <w:rPr>
          <w:rFonts w:ascii="仿宋_GB2312" w:hAnsi="仿宋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(学科或专业代码：035102)</w:t>
      </w:r>
    </w:p>
    <w:p>
      <w:pPr>
        <w:adjustRightInd w:val="0"/>
        <w:snapToGrid w:val="0"/>
        <w:spacing w:line="440" w:lineRule="exact"/>
        <w:ind w:firstLine="540" w:firstLineChars="225"/>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adjustRightInd w:val="0"/>
        <w:snapToGrid w:val="0"/>
        <w:spacing w:line="440" w:lineRule="exact"/>
        <w:ind w:firstLine="540" w:firstLineChars="225"/>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西北师范大学法学教育历史悠久、积淀深厚，著名法学家吴文翰先生在此执教</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1995年设立法学本科专业；2003年获“法学理论”二级学科硕士学位授予权</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2010年9月，经甘肃省学位委员会批准，获得法学一级学科硕士学位授权点；2012年在法律系基础上成立法学院</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2013年法学被评为省重点建设一级学科</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2014年新增法律硕士专业学位授权点和法律发展与地方治理博士点，标志着法学教育进入了一个新的历史阶段。</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本学位点主要为国家尤其是西北地区培养立法、司法、行政执法和法律服务领域德才兼备的高层次的专门型、应用型法治人才。</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（一）基本目标</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1.掌握中国特色社会主义理论体系，遵守宪法和法律，德法兼修，具有良好的政治素质和道德品质，遵循法律职业伦理和法律职业道德规范；</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2.全面掌握法学基本原理，特别是社会主义法学基本原理，具备从事法律职业所要求的法律知识、法律术语、法律思维、法律方法和法律技能；</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3.自觉践行社会主义核心价值观，综合运用法律和其他专业知识，具有独立从事法务工作的能力；</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4.熟练掌握一门外语。</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（二）具体目标</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1.全面掌握法律专业知识；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2.能够运用法律思维分析和解决法律实务问题；</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3.熟练运用法律解释方法，具备在具体案件中进行法律推理的能力；</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4.掌握诉讼主要程序，熟练从事法律事务代理和辩护业务；</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5.熟练从事非诉讼法律实务以及法律事务的组织和管理；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6.熟练掌握法律文书制作技能。</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1.把知识教育同价值观教育、能力教育结合起来，把思想引导和价值观塑造融入每一门课程教学；</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2.重视和加强实践教学，注重实务能力的培养；</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3.成立导师组，采取集体培养与导师个人负责相结合的指导方式；</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4.加强教学与实践的联系和交流，聘请具有法律实务经验的专家参与教学及培养工作；</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5.必修课考核采取考试和考查两种方式。</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四、本学科所需其它相关（近）学科知识</w:t>
      </w:r>
    </w:p>
    <w:p>
      <w:pPr>
        <w:spacing w:line="480" w:lineRule="exact"/>
        <w:rPr>
          <w:rFonts w:ascii="仿宋_GB2312" w:hAnsi="仿宋_GB2312" w:eastAsia="宋体"/>
          <w:color w:val="000000" w:themeColor="text1"/>
          <w:sz w:val="24"/>
          <w14:textFill>
            <w14:solidFill>
              <w14:schemeClr w14:val="tx1"/>
            </w14:solidFill>
          </w14:textFill>
        </w:rPr>
      </w:pPr>
      <w:r>
        <w:rPr>
          <w:rFonts w:hint="eastAsia" w:ascii="仿宋_GB2312" w:hAnsi="仿宋_GB2312"/>
          <w:color w:val="000000" w:themeColor="text1"/>
          <w:sz w:val="24"/>
          <w14:textFill>
            <w14:solidFill>
              <w14:schemeClr w14:val="tx1"/>
            </w14:solidFill>
          </w14:textFill>
        </w:rPr>
        <w:t xml:space="preserve">    社会学、经济学、管理学、政治学、哲学等。</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spacing w:line="480" w:lineRule="exact"/>
        <w:ind w:firstLine="480" w:firstLineChars="200"/>
        <w:rPr>
          <w:rFonts w:ascii="仿宋_GB2312" w:hAnsi="仿宋_GB2312"/>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采用全日制学习方式，基本学制3年。因正当理由未能按时完成课程学习、研究任务或参加硕士论文答辩的，经本人提出申请，校内导师签署意见，学院和研究生院同意后，可延长学习年限，最长学习年限5年。</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1.民商法实务。本方向侧重于培养掌握民商事法律理论，熟悉民商事法律规范和实务技能，处理民商事法律事务的高级专门人才。</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2.地方立法实务。本方向侧重于培养掌握地方立法理论，熟悉地方立法制度和实务技能，起草规范性法律文件的高级专门人才。</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3.财税金融法实务。本方向侧重于培养掌握财税金融法律理论，熟悉财税金融法律规范和实务技能，处理财税金融法律事务的高级专门人才。</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学生应当至少选择一个主修方向，以此作为学位论文的选题依据。</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总学分不低于55学分。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（一）课程设置（不低于35学分）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1.必修课（19学分）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（1）中国特色社会主义理论与实践研究（2学分）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（2）马克思主义与社会科学方法论（1学分）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（3）外语（3学分）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（4）法律职业伦理（2学分）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（5）民法与民事诉讼原理与实务（4学分）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（6）刑法与刑事诉讼原理与实务（4学分）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（7）行政法与行政诉讼原理与实务（3学分）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2.专业选修课（不低于12学分）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（1）法理学专题（2学分）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（2）宪法专题（2学分）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（3）中国法制史专题（2学分）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（4）商法专题（2学分）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（5）经济法专题（2学分）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（6）国际法专题（2学分）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（7）环境资源法专题（2学分）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（8）证据法专题（2学分）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（9）法律逻辑（2学分）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（10）法律方法（2学分）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（11）知识产权法专题（2学分）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（12）劳动与社会保障法专题（2学分）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3.特色方向选修课（不低于4学分）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（2）非诉讼纠纷解决理论与实务（2学分）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（3）婚姻家庭法理论与实务（2学分）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（4）立法学原理（2学分）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（5）地方立法制度与技术（2学分）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（6）地方立法热点与典型案例（2学分）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（7）金融法理论与实务（2学分）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（8）财政法理论与实务（2学分）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（9）税法理论与实务（2学分）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（二）实践教学与训练（15学分）</w:t>
      </w:r>
    </w:p>
    <w:p>
      <w:pPr>
        <w:spacing w:line="480" w:lineRule="exact"/>
        <w:ind w:firstLine="780" w:firstLineChars="3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1.法律写作（2学分）</w:t>
      </w:r>
    </w:p>
    <w:p>
      <w:pPr>
        <w:spacing w:line="480" w:lineRule="exact"/>
        <w:ind w:firstLine="780" w:firstLineChars="3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2.法律检索（2学分）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3.模拟法庭、模拟仲裁、模拟调解等（由学校教师负责组织，由法官、检察官、律师等法律实务专家辅助指导）（3学分）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4.法律谈判（2学分）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以上实践训练可采取案例研习、法律诊所等方式进行。</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5.专业实习（6学分）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在第四学期（含暑假）由学院统一组织专业实习，时间不少于六个月，在律师事务所、企事业单位法务部门或司法机关、政府法制部门等分阶段进行。</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定向研究生的实践教学与训练由学校和定向单位具体协商确定培养、考核方式。</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6.学位论文（5学分）</w:t>
      </w:r>
    </w:p>
    <w:p>
      <w:pPr>
        <w:spacing w:line="440" w:lineRule="exact"/>
        <w:ind w:firstLine="480" w:firstLineChars="200"/>
        <w:rPr>
          <w:rFonts w:ascii="仿宋_GB2312" w:hAnsi="仿宋_GB2312"/>
          <w:b/>
          <w:bCs/>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八、课程设置与教学计划</w:t>
      </w:r>
      <w:r>
        <w:rPr>
          <w:rFonts w:hint="eastAsia" w:ascii="黑体" w:eastAsia="黑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具体见课程设置与教学计划表</w:t>
      </w:r>
      <w:r>
        <w:rPr>
          <w:rFonts w:hint="eastAsia" w:ascii="黑体" w:eastAsia="黑体"/>
          <w:color w:val="000000" w:themeColor="text1"/>
          <w:sz w:val="24"/>
          <w14:textFill>
            <w14:solidFill>
              <w14:schemeClr w14:val="tx1"/>
            </w14:solidFill>
          </w14:textFill>
        </w:rPr>
        <w:t>）</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九、学位论文要求</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学位论文选题应贯彻理论联系实际的原则，论文内容应着眼实际问题、面向法律实务，反映学生综合运用所学法学理论与知识解决法律实务中的理论和实践问题的能力。</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学位论文应以法律实务研究为主要内容，可采用案例分析（针对同一主题的三个以上相关案件进行研究分析）、研究报告、专项调查等形式。</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（一）学位论文规范要求</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学位论文的写作应当规范并达到以下5个方面的要求：</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1.选题具有理论和实践意义，题目设计合理；</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2.论文应当对同类课题的研究或实践现状进行梳理和归纳；</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3.论据充分，论证合理，资料完整，文字中能够反映出作者已经充分阅读过一定数量的相关文献资料；</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4.具有研究方法意识，能够采取多样的研究方法，如社会调查与统计方法、社会学分析方法、比较方法、规范实证方法、价值分析方法等；</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5.语言精练，符合写作规范，字数原则上不少于2.5万字。</w:t>
      </w:r>
    </w:p>
    <w:p>
      <w:pPr>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（二）论文答辩与学位授予</w:t>
      </w:r>
    </w:p>
    <w:p>
      <w:pPr>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必须由3名本专业具有高级专业技术职务的专家评阅，其中1名校外专家，1名法治工作部门专家；学位论文答辩委员会成员中，有1至2名法治工作部门专家。符合学位授予条件者，可授予法律硕士专业学位。</w:t>
      </w:r>
    </w:p>
    <w:p>
      <w:pPr>
        <w:spacing w:line="380" w:lineRule="exact"/>
        <w:rPr>
          <w:rFonts w:ascii="宋体" w:hAnsi="宋体" w:eastAsia="宋体" w:cs="宋体"/>
          <w:color w:val="000000" w:themeColor="text1"/>
          <w:sz w:val="24"/>
          <w14:textFill>
            <w14:solidFill>
              <w14:schemeClr w14:val="tx1"/>
            </w14:solidFill>
          </w14:textFill>
        </w:rPr>
      </w:pP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全日制法律硕士（法学）专业学位研究生课程设置与教学计划表</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p>
    <w:p>
      <w:pPr>
        <w:spacing w:after="72" w:afterLines="30" w:line="520" w:lineRule="exact"/>
        <w:jc w:val="center"/>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全日制法律硕士（法学）专业学位研究生课程设置与教学计划表</w:t>
      </w:r>
    </w:p>
    <w:tbl>
      <w:tblPr>
        <w:tblStyle w:val="8"/>
        <w:tblW w:w="9595" w:type="dxa"/>
        <w:jc w:val="center"/>
        <w:tblInd w:w="-89" w:type="dxa"/>
        <w:tblLayout w:type="fixed"/>
        <w:tblCellMar>
          <w:top w:w="0" w:type="dxa"/>
          <w:left w:w="108" w:type="dxa"/>
          <w:bottom w:w="0" w:type="dxa"/>
          <w:right w:w="108" w:type="dxa"/>
        </w:tblCellMar>
      </w:tblPr>
      <w:tblGrid>
        <w:gridCol w:w="540"/>
        <w:gridCol w:w="698"/>
        <w:gridCol w:w="1065"/>
        <w:gridCol w:w="2649"/>
        <w:gridCol w:w="709"/>
        <w:gridCol w:w="601"/>
        <w:gridCol w:w="601"/>
        <w:gridCol w:w="546"/>
        <w:gridCol w:w="1543"/>
        <w:gridCol w:w="643"/>
      </w:tblGrid>
      <w:tr>
        <w:tblPrEx>
          <w:tblLayout w:type="fixed"/>
          <w:tblCellMar>
            <w:top w:w="0" w:type="dxa"/>
            <w:left w:w="108" w:type="dxa"/>
            <w:bottom w:w="0" w:type="dxa"/>
            <w:right w:w="108" w:type="dxa"/>
          </w:tblCellMar>
        </w:tblPrEx>
        <w:trPr>
          <w:trHeight w:val="536" w:hRule="atLeast"/>
          <w:jc w:val="center"/>
        </w:trPr>
        <w:tc>
          <w:tcPr>
            <w:tcW w:w="123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课程代码</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Layout w:type="fixed"/>
          <w:tblCellMar>
            <w:top w:w="0" w:type="dxa"/>
            <w:left w:w="108" w:type="dxa"/>
            <w:bottom w:w="0" w:type="dxa"/>
            <w:right w:w="108" w:type="dxa"/>
          </w:tblCellMar>
        </w:tblPrEx>
        <w:trPr>
          <w:trHeight w:val="599" w:hRule="atLeast"/>
          <w:jc w:val="center"/>
        </w:trPr>
        <w:tc>
          <w:tcPr>
            <w:tcW w:w="540"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98"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公</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共</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Z0051001</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中国特色</w:t>
            </w:r>
            <w:r>
              <w:rPr>
                <w:rFonts w:hint="eastAsia" w:ascii="宋体" w:hAnsi="宋体" w:cs="宋体"/>
                <w:color w:val="000000" w:themeColor="text1"/>
                <w:sz w:val="18"/>
                <w:szCs w:val="18"/>
                <w14:textFill>
                  <w14:solidFill>
                    <w14:schemeClr w14:val="tx1"/>
                  </w14:solidFill>
                </w14:textFill>
              </w:rPr>
              <w:t>科学</w:t>
            </w:r>
            <w:r>
              <w:rPr>
                <w:rFonts w:hint="eastAsia" w:ascii="宋体" w:hAnsi="宋体" w:eastAsia="宋体" w:cs="宋体"/>
                <w:color w:val="000000" w:themeColor="text1"/>
                <w:sz w:val="18"/>
                <w:szCs w:val="18"/>
                <w14:textFill>
                  <w14:solidFill>
                    <w14:schemeClr w14:val="tx1"/>
                  </w14:solidFill>
                </w14:textFill>
              </w:rPr>
              <w:t>社会主义理论与实践研究</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561"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Z0050005</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马克思主义与社会科学方法论</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必</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Z0072702</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法科英语（一）</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苏婉儿</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left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Z0072703</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法科英语（二）</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18</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1</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苏婉儿</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Z0073035</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民法与民事诉讼原理与实务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72</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 杜睿哲</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Z0073036</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刑法与刑事诉讼原理与实务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72</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党崇武 柴晓宇</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Z0073028</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法律职业伦理</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Z0073037</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行政法与行政诉讼原理与实务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齐建辉 曹亚斌</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698"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专</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业</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Z0074051</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法理学专题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 赵书文</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Z0074052</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中国法制史专题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田庆锋 金  怡</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Z0074053</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宪法专题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勇 袁维杰</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Z0074054</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李玉璧</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Z0074013</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法律方法</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Z0074056</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劳动与社会保障法专题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 牛绿花</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Z0074057</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证据法专题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柴晓宇</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Z0074033</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法律逻辑</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张继文 王树亮</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Z0074055</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环境资源法专题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段文泽</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Z0074058</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经济法专题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  芸 车亮亮</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Z0074059</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Z0074060</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知识产权法专题</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李玉璧</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698"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特</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色</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向</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选</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修</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w:t>
            </w: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Z0074042</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金融法理论与实务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Z0074043</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合同法理论与实务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Z0074044</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非诉讼纠纷解决理论与实务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瑾</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Z0074045</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婚姻家庭法理论与实务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泉</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Z0074046</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立法学原理</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Z0074048</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地方立法热点与典型案例</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明</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Z0074049</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地方立法制度与技术</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Z0074065</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财政法理论与实务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付</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音</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540"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98" w:type="dxa"/>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Z0074066</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税法理论与实务</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蔡  芳</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1238" w:type="dxa"/>
            <w:gridSpan w:val="2"/>
            <w:vMerge w:val="restart"/>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实</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践</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Z0075008</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法律检索</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1238" w:type="dxa"/>
            <w:gridSpan w:val="2"/>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Z0075010</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模拟法庭等</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54</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1238" w:type="dxa"/>
            <w:gridSpan w:val="2"/>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Z0075012</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20"/>
                <w:sz w:val="18"/>
                <w:szCs w:val="18"/>
                <w14:textFill>
                  <w14:solidFill>
                    <w14:schemeClr w14:val="tx1"/>
                  </w14:solidFill>
                </w14:textFill>
              </w:rPr>
              <w:t>6个月</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1238" w:type="dxa"/>
            <w:gridSpan w:val="2"/>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Z0075011</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法律谈判</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1238" w:type="dxa"/>
            <w:gridSpan w:val="2"/>
            <w:vMerge w:val="continue"/>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p>
        </w:tc>
        <w:tc>
          <w:tcPr>
            <w:tcW w:w="1065"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Z0075009</w:t>
            </w:r>
          </w:p>
        </w:tc>
        <w:tc>
          <w:tcPr>
            <w:tcW w:w="264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法律写作</w:t>
            </w:r>
          </w:p>
        </w:tc>
        <w:tc>
          <w:tcPr>
            <w:tcW w:w="709"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601"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36</w:t>
            </w:r>
          </w:p>
        </w:tc>
        <w:tc>
          <w:tcPr>
            <w:tcW w:w="546"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5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4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Layout w:type="fixed"/>
          <w:tblCellMar>
            <w:top w:w="0" w:type="dxa"/>
            <w:left w:w="108" w:type="dxa"/>
            <w:bottom w:w="0" w:type="dxa"/>
            <w:right w:w="108" w:type="dxa"/>
          </w:tblCellMar>
        </w:tblPrEx>
        <w:trPr>
          <w:trHeight w:val="459" w:hRule="atLeast"/>
          <w:jc w:val="center"/>
        </w:trPr>
        <w:tc>
          <w:tcPr>
            <w:tcW w:w="1238" w:type="dxa"/>
            <w:gridSpan w:val="2"/>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总学分</w:t>
            </w:r>
          </w:p>
        </w:tc>
        <w:tc>
          <w:tcPr>
            <w:tcW w:w="8357" w:type="dxa"/>
            <w:gridSpan w:val="8"/>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不低于55学分</w:t>
            </w:r>
          </w:p>
        </w:tc>
      </w:tr>
    </w:tbl>
    <w:p>
      <w:pPr>
        <w:spacing w:line="320" w:lineRule="exact"/>
        <w:ind w:firstLine="420" w:firstLineChars="200"/>
        <w:rPr>
          <w:rFonts w:ascii="宋体" w:hAnsi="宋体" w:eastAsia="宋体" w:cs="宋体"/>
          <w:color w:val="000000" w:themeColor="text1"/>
          <w:szCs w:val="21"/>
          <w14:textFill>
            <w14:solidFill>
              <w14:schemeClr w14:val="tx1"/>
            </w14:solidFill>
          </w14:textFill>
        </w:rPr>
        <w:sectPr>
          <w:headerReference r:id="rId8" w:type="default"/>
          <w:type w:val="continuous"/>
          <w:pgSz w:w="11906" w:h="16838"/>
          <w:pgMar w:top="1701" w:right="1474" w:bottom="1418" w:left="1418" w:header="1191" w:footer="1021" w:gutter="0"/>
          <w:pgNumType w:fmt="decimal"/>
          <w:cols w:space="0" w:num="1"/>
          <w:docGrid w:linePitch="317" w:charSpace="0"/>
        </w:sectPr>
      </w:pPr>
    </w:p>
    <w:p>
      <w:pPr>
        <w:pStyle w:val="2"/>
        <w:spacing w:before="120"/>
        <w:rPr>
          <w:color w:val="000000" w:themeColor="text1"/>
          <w14:textFill>
            <w14:solidFill>
              <w14:schemeClr w14:val="tx1"/>
            </w14:solidFill>
          </w14:textFill>
        </w:rPr>
        <w:sectPr>
          <w:headerReference r:id="rId9" w:type="default"/>
          <w:footerReference r:id="rId10" w:type="default"/>
          <w:type w:val="continuous"/>
          <w:pgSz w:w="11906" w:h="16838"/>
          <w:pgMar w:top="1701" w:right="1474" w:bottom="1418" w:left="1418" w:header="1191" w:footer="1021" w:gutter="0"/>
          <w:pgNumType w:fmt="decimal"/>
          <w:cols w:space="0" w:num="1"/>
          <w:docGrid w:linePitch="312" w:charSpace="0"/>
        </w:sectPr>
      </w:pPr>
      <w:bookmarkStart w:id="42" w:name="_Toc6084"/>
      <w:bookmarkStart w:id="43" w:name="_Toc9162"/>
      <w:bookmarkStart w:id="44" w:name="_Toc16775"/>
      <w:bookmarkStart w:id="45" w:name="_Toc23169"/>
      <w:bookmarkStart w:id="46" w:name="_Toc6851"/>
      <w:bookmarkStart w:id="47" w:name="_Toc24064"/>
      <w:bookmarkStart w:id="48" w:name="_Toc8511"/>
    </w:p>
    <w:p>
      <w:pPr>
        <w:pStyle w:val="2"/>
        <w:spacing w:before="120"/>
        <w:rPr>
          <w:color w:val="000000" w:themeColor="text1"/>
          <w14:textFill>
            <w14:solidFill>
              <w14:schemeClr w14:val="tx1"/>
            </w14:solidFill>
          </w14:textFill>
        </w:rPr>
      </w:pPr>
      <w:bookmarkStart w:id="49" w:name="_Toc527397041"/>
      <w:bookmarkStart w:id="50" w:name="_Toc16674"/>
      <w:r>
        <w:rPr>
          <w:rFonts w:hint="eastAsia"/>
          <w:color w:val="000000" w:themeColor="text1"/>
          <w14:textFill>
            <w14:solidFill>
              <w14:schemeClr w14:val="tx1"/>
            </w14:solidFill>
          </w14:textFill>
        </w:rPr>
        <w:t>非全日制法律硕士（法学）专业学位研究生培养方案</w:t>
      </w:r>
      <w:bookmarkEnd w:id="42"/>
      <w:bookmarkEnd w:id="43"/>
      <w:bookmarkEnd w:id="44"/>
      <w:bookmarkEnd w:id="45"/>
      <w:bookmarkEnd w:id="46"/>
      <w:bookmarkEnd w:id="47"/>
      <w:bookmarkEnd w:id="48"/>
      <w:bookmarkEnd w:id="49"/>
      <w:bookmarkEnd w:id="50"/>
    </w:p>
    <w:p>
      <w:pPr>
        <w:adjustRightInd w:val="0"/>
        <w:snapToGrid w:val="0"/>
        <w:spacing w:after="240" w:afterLines="100" w:line="520" w:lineRule="exact"/>
        <w:jc w:val="center"/>
        <w:rPr>
          <w:rFonts w:ascii="仿宋_GB2312" w:hAnsi="仿宋_GB2312"/>
          <w:color w:val="000000" w:themeColor="text1"/>
          <w:sz w:val="24"/>
          <w14:textFill>
            <w14:solidFill>
              <w14:schemeClr w14:val="tx1"/>
            </w14:solidFill>
          </w14:textFill>
        </w:rPr>
      </w:pPr>
      <w:r>
        <w:rPr>
          <w:rFonts w:hint="eastAsia" w:ascii="楷体_GB2312" w:hAnsi="楷体_GB2312" w:eastAsia="楷体_GB2312" w:cs="楷体_GB2312"/>
          <w:color w:val="000000" w:themeColor="text1"/>
          <w:sz w:val="24"/>
          <w14:textFill>
            <w14:solidFill>
              <w14:schemeClr w14:val="tx1"/>
            </w14:solidFill>
          </w14:textFill>
        </w:rPr>
        <w:t>(学科或专业代码：035102)</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一、学科概况</w:t>
      </w:r>
    </w:p>
    <w:p>
      <w:pPr>
        <w:adjustRightInd w:val="0"/>
        <w:snapToGrid w:val="0"/>
        <w:spacing w:line="440" w:lineRule="exact"/>
        <w:ind w:firstLine="540" w:firstLineChars="225"/>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西北师范大学法学教育历史悠久、积淀深厚，著名法学家吴文翰先生在此执教</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1995年设立法学本科专业；2003年获“法学理论”二级学科硕士学位授予权</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2010年9月，经甘肃省学位委员会批准，获得法学一级学科硕士学位授权点；2012年在法律系基础上成立法学院</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2013年法学被评为省重点建设一级学科</w:t>
      </w:r>
      <w:r>
        <w:rPr>
          <w:rFonts w:hint="eastAsia" w:ascii="宋体" w:hAnsi="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2014年新增法律硕士专业学位授权点和法律发展与地方治理博士点，标志着法学教育进入了一个新的历史阶段。</w:t>
      </w:r>
    </w:p>
    <w:p>
      <w:pPr>
        <w:adjustRightInd w:val="0"/>
        <w:snapToGrid w:val="0"/>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二、培养目标</w:t>
      </w:r>
    </w:p>
    <w:p>
      <w:pPr>
        <w:adjustRightInd w:val="0"/>
        <w:snapToGrid w:val="0"/>
        <w:spacing w:line="44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本学位点主要为国家尤其是西北地区培养立法、司法、行政执法和法律服务领域德才兼备的高层次的专门型、应用型法治人才。</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（一）基本要求</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1.掌握中国特色社会主义理论体系，遵守宪法和法律，德法兼修，具有良好的政治素质和道德品质，遵循法律职业伦理和法律职业道德规范；</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2.全面掌握法学基本原理，特别是社会主义法学基本原理，具备从事法律职业所要求的法律知识、法律术语、法律思维、法律方法和法律技能；</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3.自觉践行社会主义核心价值观，综合运用法律和其他专业知识，具有独立从事法务工作的能力；</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4.熟练掌握一门外语。</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（二）具体要求</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1.全面掌握法律专业知识；</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2.能够运用法律思维分析和解决法律实务问题；</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3.熟练运用法律解释方法，具备在具体案件中进行法律推理的能力；</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4.掌握诉讼主要程序，熟练从事法律事务代理和辩护业务；</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5.熟练从事非诉讼法律实务以及法律事务的组织和管理；</w:t>
      </w:r>
    </w:p>
    <w:p>
      <w:pPr>
        <w:adjustRightInd w:val="0"/>
        <w:snapToGrid w:val="0"/>
        <w:spacing w:line="44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6.熟练掌握法律文书制作技能。</w:t>
      </w:r>
    </w:p>
    <w:p>
      <w:pPr>
        <w:spacing w:line="44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三、培养方式</w:t>
      </w:r>
    </w:p>
    <w:p>
      <w:pPr>
        <w:adjustRightInd w:val="0"/>
        <w:snapToGrid w:val="0"/>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严格教学管理。教学方式以集中课堂授课为主，结合自学、专题讲座、网授、学习笔记、平时作业等多种形式进行。在每门课程集中授课结束后，由任课教师布置自学内容、延伸讨论问题、阅读文献、课程作业、学习笔记等课外学习任务。下次集中授课时向任课教师提交不少于1万字的学习笔记（学习笔记为手写或打印版，内容包含读书报告、学术报告或学术讲座记录感想、法律实践经验总结等）和课程作业，任课教师检查合格后签名确认。</w:t>
      </w:r>
    </w:p>
    <w:p>
      <w:pPr>
        <w:adjustRightInd w:val="0"/>
        <w:snapToGrid w:val="0"/>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实行导师负责制，采取导师组集体培养与导师个人负责相结合的指导方式。校内导师是研究生日常培养管理的第一责任人。在入学后1个月之内从校内导师组之中遵循“双向选择、总量控制”的原则为研究生确定1名导师。导师对学生的指导每月不得少于1次，指导形式可以灵活多样，应当为学生制定课外阅读计划，辅助课堂教学，并督促其完成。</w:t>
      </w:r>
    </w:p>
    <w:p>
      <w:pPr>
        <w:adjustRightInd w:val="0"/>
        <w:snapToGrid w:val="0"/>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3.重视和加强实践教学，加强实务能力的培养；采取专题讲授、课堂讨论、案例分析等灵活多样的教学方法，积极探索和创新研究生教学模式。</w:t>
      </w:r>
    </w:p>
    <w:p>
      <w:pPr>
        <w:adjustRightInd w:val="0"/>
        <w:snapToGrid w:val="0"/>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4.加强教学与实践的联系和交流，聘请具有法律实务经验的专家参与教学及培养工作，构建协作创新、共同培育德法兼修高素质法治人才的长效机制。</w:t>
      </w:r>
    </w:p>
    <w:p>
      <w:pPr>
        <w:adjustRightInd w:val="0"/>
        <w:snapToGrid w:val="0"/>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课程考核采取考试和考查两种方式。考核成绩由集中授课考试成绩和读书笔记、平时作业成绩构成，其中笔试占60%，读书笔记和平时作业占40%。考试的具体方式有：笔试、口试、笔试+口试、撰写学术论文、案例分析报告等；凡采用口试方式的，均应有口试记录。</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四、本学科所需其它相关（近）学科知识</w:t>
      </w:r>
    </w:p>
    <w:p>
      <w:pPr>
        <w:spacing w:line="480" w:lineRule="exact"/>
        <w:ind w:firstLine="480" w:firstLineChars="200"/>
        <w:rPr>
          <w:rFonts w:ascii="仿宋_GB2312" w:hAnsi="仿宋_GB2312"/>
          <w:color w:val="000000" w:themeColor="text1"/>
          <w:sz w:val="24"/>
          <w14:textFill>
            <w14:solidFill>
              <w14:schemeClr w14:val="tx1"/>
            </w14:solidFill>
          </w14:textFill>
        </w:rPr>
      </w:pPr>
      <w:r>
        <w:rPr>
          <w:rFonts w:hint="eastAsia" w:ascii="仿宋_GB2312" w:hAnsi="仿宋_GB2312"/>
          <w:color w:val="000000" w:themeColor="text1"/>
          <w:sz w:val="24"/>
          <w14:textFill>
            <w14:solidFill>
              <w14:schemeClr w14:val="tx1"/>
            </w14:solidFill>
          </w14:textFill>
        </w:rPr>
        <w:t>社会学、经济学、管理学、政治学、哲学等。</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五、学制及学习年限</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原则上采用非全日制学习方式，基本学制3年。因正当理由未能按时完成课程学习、研究任务或参加硕士论文答辩的，经本人提出申请，校内导师签署意见，学院和研究生院同意后，可延长学习年限，最长学习年限5年。</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六、研究方向</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1.民商法实务。本方向侧重于培养掌握民商事法律理论，熟悉民商事法律规范和实务技能，处理民商事法律事务的高级专门人才。</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2.地方立法实务。本方向侧重于培养掌握地方立法理论，熟悉地方立法制度和实务技能，起草规范性法律文件的高级专门人才。</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3.财税金融法实务。本方向侧重于培养掌握财税金融法律理论，熟悉财税金融法律规范和实务技能，处理财税金融法律事务的高级专门人才。</w:t>
      </w:r>
    </w:p>
    <w:p>
      <w:pPr>
        <w:spacing w:line="480" w:lineRule="exact"/>
        <w:ind w:firstLine="540" w:firstLineChars="225"/>
        <w:rPr>
          <w:rFonts w:ascii="仿宋_GB2312" w:hAnsi="仿宋_GB2312"/>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学生应当至少选择一个主修方向，以此作为学位论文的选题依据。</w:t>
      </w:r>
    </w:p>
    <w:p>
      <w:pPr>
        <w:adjustRightInd w:val="0"/>
        <w:snapToGrid w:val="0"/>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七、学分要求</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总学分不低于55学分。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（一）课程设置（不低于35学分）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1.必修课（19学分）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（1）中国特色社会主义理论与实践研究（2学分）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（2）马克思主义与社会科学方法论（1学分）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（3）外语（3学分）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（4）法律职业伦理（2学分）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（5）民法与民事诉讼原理与实务（4学分）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（6）刑法与刑事诉讼原理与实务（4学分）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（7）行政法与行政诉讼原理与实务（3学分）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2.专业选修课（不低于12学分）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（1）法理学专题（2学分）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（2）宪法专题（2学分）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（3）中国法制史专题（2学分）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（4）商法专题（2学分）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（5）经济法专题（2学分）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（6）国际法专题（2学分）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（7）环境资源法专题（2学分）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（8）证据法专题（2学分）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（9）法律逻辑（2学分）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（10）法律方法（2学分）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（11）知识产权法专题（2学分）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（12）劳动与社会保障法专题（2学分）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3.特色方向选修课（不低于4学分）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（1）合同法理论与实务（2学分）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（2）非诉讼纠纷解决理论与实务（2学分）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（3）婚姻家庭法理论与实务（2学分）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（4）立法学原理（2学分）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（5）地方立法制度与技术（2学分）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（6）地方立法热点与典型案例（2学分）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（7）金融法理论与实务（2学分）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（8）财政法理论与实务（2学分）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（9）税法理论与实务（2学分）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（二）实践教学与训练（15学分）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1.法律写作（2学分）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2.法律检索（2学分）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3.模拟法庭、模拟仲裁、模拟调解等（由学校教师负责组织，由法官、检察官、律师等法律实务专家辅助指导）（3学分）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4.法律谈判（2学分）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以上实践训练可采取案例研习、法律诊所等方式进行。</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5.专业实习（6学分）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在第四学期（含暑假）由学院统一组织专业实习，时间不少于六个月，在律师事务所、企事业单位法务部门或司法机关、政府法制部门等分阶段进行。</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定向研究生的实践教学与训练由学校和定向单位具体协商确定培养、考核方式。</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6.学位论文（5学分）</w:t>
      </w:r>
    </w:p>
    <w:p>
      <w:pPr>
        <w:spacing w:line="480" w:lineRule="exact"/>
        <w:ind w:firstLine="480" w:firstLineChars="200"/>
        <w:rPr>
          <w:rFonts w:ascii="仿宋_GB2312" w:hAnsi="仿宋_GB2312"/>
          <w:b/>
          <w:bCs/>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八、课程设置与教学计划</w:t>
      </w:r>
      <w:r>
        <w:rPr>
          <w:rFonts w:hint="eastAsia" w:asciiTheme="minorEastAsia" w:hAnsiTheme="minorEastAsia" w:cstheme="minorEastAsia"/>
          <w:color w:val="000000" w:themeColor="text1"/>
          <w:sz w:val="24"/>
          <w14:textFill>
            <w14:solidFill>
              <w14:schemeClr w14:val="tx1"/>
            </w14:solidFill>
          </w14:textFill>
        </w:rPr>
        <w:t>（具体见课程设置与教学计划表）</w:t>
      </w:r>
    </w:p>
    <w:p>
      <w:pPr>
        <w:spacing w:line="48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九、学位论文要求</w:t>
      </w:r>
    </w:p>
    <w:p>
      <w:pPr>
        <w:spacing w:line="480" w:lineRule="exact"/>
        <w:ind w:firstLine="480" w:firstLineChars="200"/>
        <w:rPr>
          <w:rFonts w:ascii="宋体" w:hAnsi="宋体" w:eastAsia="宋体" w:cs="宋体"/>
          <w:color w:val="000000" w:themeColor="text1"/>
          <w:spacing w:val="-6"/>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学位论文选题应贯彻理论联系实际的原则，论文内容应着眼实际问题、面向法律实</w:t>
      </w:r>
      <w:r>
        <w:rPr>
          <w:rFonts w:hint="eastAsia" w:ascii="宋体" w:hAnsi="宋体" w:eastAsia="宋体" w:cs="宋体"/>
          <w:color w:val="000000" w:themeColor="text1"/>
          <w:spacing w:val="-6"/>
          <w:sz w:val="24"/>
          <w14:textFill>
            <w14:solidFill>
              <w14:schemeClr w14:val="tx1"/>
            </w14:solidFill>
          </w14:textFill>
        </w:rPr>
        <w:t>务，反映学生综合运用所学法学理论与知识解决法律实务中的理论和实践问题的能力。</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学位论文应以法律实务研究为主要内容，可采用案例分析（针对同一主题的三个以上相关案件进行研究分析）、研究报告、专项调查等形式。</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（一）学位论文规范要求</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学位论文的写作应当规范并达到以下5个方面的要求：</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1.选题具有理论和实践意义，题目设计合理；</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2.论文应当对同类课题的研究或实践现状进行梳理和归纳；</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3.论据充分，论证合理，资料完整，文字中能够反映出作者已经充分阅读过一定数量的相关文献资料；</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4.具有研究方法意识，能够采取多样的研究方法，如社会调查与统计方法、社会学分析方法、比较方法、规范实证方法、价值分析方法等；</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5.语言精练，符合写作规范，字数原则上不少于2.5万字。</w:t>
      </w: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（二）论文答辩与学位授予</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位论文必须由3名本专业具有高级专业技术职务的专家评阅，其中1名校外专家，1名法治工作部门专家；学位论文答辩委员会成员中，有1至2名法治工作部门专家。符合学位授予条件者，可授予法律硕士专业学位。</w:t>
      </w:r>
    </w:p>
    <w:p>
      <w:pPr>
        <w:spacing w:line="480" w:lineRule="exact"/>
        <w:ind w:firstLine="540" w:firstLineChars="225"/>
        <w:rPr>
          <w:rFonts w:ascii="宋体" w:hAnsi="宋体" w:eastAsia="宋体" w:cs="宋体"/>
          <w:color w:val="000000" w:themeColor="text1"/>
          <w:sz w:val="24"/>
          <w14:textFill>
            <w14:solidFill>
              <w14:schemeClr w14:val="tx1"/>
            </w14:solidFill>
          </w14:textFill>
        </w:rPr>
      </w:pPr>
    </w:p>
    <w:p>
      <w:pPr>
        <w:spacing w:line="480" w:lineRule="exact"/>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附件：非全日制法律硕士（法学）专业学位研究生课程设置与教学计划表</w:t>
      </w:r>
    </w:p>
    <w:p>
      <w:pPr>
        <w:spacing w:line="480" w:lineRule="exact"/>
        <w:ind w:firstLine="480" w:firstLineChars="200"/>
        <w:rPr>
          <w:rFonts w:ascii="黑体" w:eastAsia="黑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pPr>
        <w:spacing w:line="480" w:lineRule="exact"/>
        <w:ind w:firstLine="542" w:firstLineChars="225"/>
        <w:rPr>
          <w:rFonts w:ascii="仿宋_GB2312" w:hAnsi="仿宋_GB2312"/>
          <w:b/>
          <w:bCs/>
          <w:color w:val="000000" w:themeColor="text1"/>
          <w:sz w:val="24"/>
          <w14:textFill>
            <w14:solidFill>
              <w14:schemeClr w14:val="tx1"/>
            </w14:solidFill>
          </w14:textFill>
        </w:rPr>
      </w:pPr>
      <w:r>
        <w:rPr>
          <w:rFonts w:ascii="仿宋_GB2312" w:hAnsi="仿宋_GB2312"/>
          <w:b/>
          <w:bCs/>
          <w:color w:val="000000" w:themeColor="text1"/>
          <w:sz w:val="24"/>
          <w14:textFill>
            <w14:solidFill>
              <w14:schemeClr w14:val="tx1"/>
            </w14:solidFill>
          </w14:textFill>
        </w:rPr>
        <w:br w:type="page"/>
      </w:r>
    </w:p>
    <w:p>
      <w:pPr>
        <w:spacing w:line="36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w:t>
      </w:r>
      <w:r>
        <w:rPr>
          <w:rFonts w:hint="eastAsia" w:ascii="宋体" w:hAnsi="宋体" w:cs="宋体"/>
          <w:color w:val="000000" w:themeColor="text1"/>
          <w:sz w:val="24"/>
          <w14:textFill>
            <w14:solidFill>
              <w14:schemeClr w14:val="tx1"/>
            </w14:solidFill>
          </w14:textFill>
        </w:rPr>
        <w:t>：</w:t>
      </w:r>
    </w:p>
    <w:p>
      <w:pPr>
        <w:spacing w:after="72" w:afterLines="30" w:line="520" w:lineRule="exact"/>
        <w:ind w:left="-235" w:leftChars="-112" w:right="-290" w:rightChars="-138"/>
        <w:jc w:val="center"/>
        <w:rPr>
          <w:rFonts w:ascii="黑体" w:hAnsi="黑体" w:eastAsia="黑体" w:cs="Times New Roman"/>
          <w:color w:val="000000" w:themeColor="text1"/>
          <w:spacing w:val="-6"/>
          <w:kern w:val="0"/>
          <w:sz w:val="32"/>
          <w:szCs w:val="32"/>
          <w14:textFill>
            <w14:solidFill>
              <w14:schemeClr w14:val="tx1"/>
            </w14:solidFill>
          </w14:textFill>
        </w:rPr>
      </w:pPr>
      <w:r>
        <w:rPr>
          <w:rFonts w:hint="eastAsia" w:ascii="黑体" w:hAnsi="黑体" w:eastAsia="黑体" w:cs="Times New Roman"/>
          <w:color w:val="000000" w:themeColor="text1"/>
          <w:spacing w:val="-6"/>
          <w:kern w:val="0"/>
          <w:sz w:val="32"/>
          <w:szCs w:val="32"/>
          <w14:textFill>
            <w14:solidFill>
              <w14:schemeClr w14:val="tx1"/>
            </w14:solidFill>
          </w14:textFill>
        </w:rPr>
        <w:t>非全日制法律硕士（法学）专业学位研究生课程设置与教学计划表</w:t>
      </w:r>
    </w:p>
    <w:tbl>
      <w:tblPr>
        <w:tblStyle w:val="8"/>
        <w:tblW w:w="9371" w:type="dxa"/>
        <w:jc w:val="center"/>
        <w:tblInd w:w="0"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525"/>
        <w:gridCol w:w="636"/>
        <w:gridCol w:w="1065"/>
        <w:gridCol w:w="2454"/>
        <w:gridCol w:w="750"/>
        <w:gridCol w:w="627"/>
        <w:gridCol w:w="669"/>
        <w:gridCol w:w="490"/>
        <w:gridCol w:w="1487"/>
        <w:gridCol w:w="668"/>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534" w:hRule="exact"/>
          <w:jc w:val="center"/>
        </w:trPr>
        <w:tc>
          <w:tcPr>
            <w:tcW w:w="1161" w:type="dxa"/>
            <w:gridSpan w:val="2"/>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类别</w:t>
            </w: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课程</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cs="宋体"/>
                <w:b/>
                <w:bCs/>
                <w:color w:val="000000" w:themeColor="text1"/>
                <w:sz w:val="18"/>
                <w:szCs w:val="18"/>
                <w14:textFill>
                  <w14:solidFill>
                    <w14:schemeClr w14:val="tx1"/>
                  </w14:solidFill>
                </w14:textFill>
              </w:rPr>
              <w:t>代码</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课程名称</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开课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学期</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周</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学时</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总学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时数</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学</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分</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任课</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教师</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考核</w:t>
            </w:r>
          </w:p>
          <w:p>
            <w:pPr>
              <w:keepNext w:val="0"/>
              <w:keepLines w:val="0"/>
              <w:suppressLineNumbers w:val="0"/>
              <w:spacing w:before="0" w:beforeAutospacing="0" w:after="0" w:afterAutospacing="0" w:line="200" w:lineRule="exact"/>
              <w:ind w:left="0" w:right="0"/>
              <w:jc w:val="center"/>
              <w:rPr>
                <w:rFonts w:hint="default"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bCs/>
                <w:color w:val="000000" w:themeColor="text1"/>
                <w:sz w:val="18"/>
                <w:szCs w:val="18"/>
                <w14:textFill>
                  <w14:solidFill>
                    <w14:schemeClr w14:val="tx1"/>
                  </w14:solidFill>
                </w14:textFill>
              </w:rPr>
              <w:t>方式</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必</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636"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105" w:leftChars="-50" w:right="-105" w:rightChars="-50" w:firstLine="20" w:firstLineChars="12"/>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公共</w:t>
            </w:r>
          </w:p>
          <w:p>
            <w:pPr>
              <w:keepNext w:val="0"/>
              <w:keepLines w:val="0"/>
              <w:suppressLineNumbers w:val="0"/>
              <w:adjustRightInd w:val="0"/>
              <w:spacing w:before="0" w:beforeAutospacing="0" w:after="0" w:afterAutospacing="0" w:line="200" w:lineRule="exact"/>
              <w:ind w:left="-105" w:leftChars="-50" w:right="-105" w:rightChars="-50" w:firstLine="20" w:firstLineChars="12"/>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必修</w:t>
            </w:r>
          </w:p>
          <w:p>
            <w:pPr>
              <w:keepNext w:val="0"/>
              <w:keepLines w:val="0"/>
              <w:suppressLineNumbers w:val="0"/>
              <w:adjustRightInd w:val="0"/>
              <w:spacing w:before="0" w:beforeAutospacing="0" w:after="0" w:afterAutospacing="0" w:line="200" w:lineRule="exact"/>
              <w:ind w:left="-105" w:leftChars="-50" w:right="-105" w:rightChars="-50" w:firstLine="20" w:firstLineChars="12"/>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Z0051001</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中国特色</w:t>
            </w:r>
            <w:r>
              <w:rPr>
                <w:rFonts w:hint="eastAsia" w:ascii="宋体" w:hAnsi="宋体" w:cs="宋体"/>
                <w:color w:val="000000" w:themeColor="text1"/>
                <w:sz w:val="18"/>
                <w:szCs w:val="18"/>
                <w14:textFill>
                  <w14:solidFill>
                    <w14:schemeClr w14:val="tx1"/>
                  </w14:solidFill>
                </w14:textFill>
              </w:rPr>
              <w:t>科学</w:t>
            </w:r>
            <w:r>
              <w:rPr>
                <w:rFonts w:hint="eastAsia" w:ascii="宋体" w:hAnsi="宋体" w:eastAsia="宋体" w:cs="宋体"/>
                <w:color w:val="000000" w:themeColor="text1"/>
                <w:sz w:val="18"/>
                <w:szCs w:val="18"/>
                <w14:textFill>
                  <w14:solidFill>
                    <w14:schemeClr w14:val="tx1"/>
                  </w14:solidFill>
                </w14:textFill>
              </w:rPr>
              <w:t>社会主义理论与实践研究</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Z0050005</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马克思主义与社会科学方法论</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18</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马克思主义学院</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Z0072701</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法科英语</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45</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苏婉儿</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Z0073035</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pacing w:val="-6"/>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民法与民事诉讼原理与实务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bCs/>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 杜睿哲</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Z0073036</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刑法与刑事诉讼原理与实务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60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党崇武 柴晓宇</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Z0073028</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法律职业伦理</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Z0073037</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6"/>
                <w:sz w:val="18"/>
                <w:szCs w:val="18"/>
                <w14:textFill>
                  <w14:solidFill>
                    <w14:schemeClr w14:val="tx1"/>
                  </w14:solidFill>
                </w14:textFill>
              </w:rPr>
              <w:t>行政法与行政诉讼原理与实务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45</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齐建辉 曹亚斌</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课</w:t>
            </w:r>
          </w:p>
        </w:tc>
        <w:tc>
          <w:tcPr>
            <w:tcW w:w="636"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专</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业</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选</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w w:val="90"/>
                <w:sz w:val="18"/>
                <w:szCs w:val="18"/>
                <w14:textFill>
                  <w14:solidFill>
                    <w14:schemeClr w14:val="tx1"/>
                  </w14:solidFill>
                </w14:textFill>
              </w:rPr>
            </w:pPr>
            <w:r>
              <w:rPr>
                <w:rFonts w:hint="eastAsia" w:ascii="宋体" w:hAnsi="宋体" w:eastAsia="宋体" w:cs="宋体"/>
                <w:b/>
                <w:color w:val="000000" w:themeColor="text1"/>
                <w:w w:val="90"/>
                <w:sz w:val="18"/>
                <w:szCs w:val="18"/>
                <w14:textFill>
                  <w14:solidFill>
                    <w14:schemeClr w14:val="tx1"/>
                  </w14:solidFill>
                </w14:textFill>
              </w:rPr>
              <w:t>课</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Z0074051</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法理学专题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 赵书文</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Z0074052</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中国法制史专题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田庆锋 金  怡</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Z0074053</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宪法专题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勇 袁维杰</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Z0074054</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商法专题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一</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李玉璧</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Z0074013</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法律方法</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Z0074056</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劳动与社会保障法专题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 牛绿花</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Z0074057</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证据法专题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柴晓宇</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Z0074033</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法律逻辑</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张继文 王树亮</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Z0074055</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环境资源法专题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段文泽</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Z0074058</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经济法专题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  芸 车亮亮</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Z0074059</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国际法专题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王  兰</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Z0074060</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知识产权法专题</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李玉璧</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特</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色</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方</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向</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选</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修</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课</w:t>
            </w: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Z0074042</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金融法理论与实务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车亮亮</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Z0074043</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合同法理论与实务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张久相</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Z0074044</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非诉讼纠纷解决理论与实务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瑾</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Z0074045</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婚姻家庭法理论与实务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李  泉</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Z0074046</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立法学原理</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何俊毅</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Z0074048</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地方立法热点与典型案例</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曹  明</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Z0074049</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地方立法制度与技术</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熊  征</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Z0074065</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财政法理论与实务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付</w:t>
            </w:r>
            <w:r>
              <w:rPr>
                <w:rFonts w:hint="eastAsia" w:ascii="宋体" w:hAnsi="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音</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525"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rPr>
                <w:rFonts w:hint="default" w:ascii="宋体" w:hAnsi="宋体" w:eastAsia="宋体" w:cs="宋体"/>
                <w:b/>
                <w:color w:val="000000" w:themeColor="text1"/>
                <w:sz w:val="18"/>
                <w:szCs w:val="18"/>
                <w14:textFill>
                  <w14:solidFill>
                    <w14:schemeClr w14:val="tx1"/>
                  </w14:solidFill>
                </w14:textFill>
              </w:rPr>
            </w:pPr>
          </w:p>
        </w:tc>
        <w:tc>
          <w:tcPr>
            <w:tcW w:w="636" w:type="dxa"/>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Z0074066</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税法理论与实务</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蔡  芳</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1161" w:type="dxa"/>
            <w:gridSpan w:val="2"/>
            <w:vMerge w:val="restart"/>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实</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践</w:t>
            </w:r>
          </w:p>
          <w:p>
            <w:pPr>
              <w:keepNext w:val="0"/>
              <w:keepLines w:val="0"/>
              <w:suppressLineNumbers w:val="0"/>
              <w:adjustRightInd w:val="0"/>
              <w:spacing w:before="0" w:beforeAutospacing="0" w:after="0" w:afterAutospacing="0" w:line="200" w:lineRule="exact"/>
              <w:ind w:left="0" w:right="0"/>
              <w:jc w:val="center"/>
              <w:rPr>
                <w:rFonts w:hint="default" w:ascii="宋体" w:hAnsi="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教</w:t>
            </w:r>
          </w:p>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学</w:t>
            </w: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Z0075008</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法律检索</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二</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1161"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Z0075010</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模拟法庭等</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三</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45</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1161"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Z0075012</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专业实习</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四</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pacing w:val="-11"/>
                <w:sz w:val="18"/>
                <w:szCs w:val="18"/>
                <w14:textFill>
                  <w14:solidFill>
                    <w14:schemeClr w14:val="tx1"/>
                  </w14:solidFill>
                </w14:textFill>
              </w:rPr>
              <w:t>6个月</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1161" w:type="dxa"/>
            <w:gridSpan w:val="2"/>
            <w:vMerge w:val="continue"/>
            <w:tcBorders>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Z0075011</w:t>
            </w:r>
          </w:p>
        </w:tc>
        <w:tc>
          <w:tcPr>
            <w:tcW w:w="2454" w:type="dxa"/>
            <w:tcBorders>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法律谈判</w:t>
            </w:r>
          </w:p>
        </w:tc>
        <w:tc>
          <w:tcPr>
            <w:tcW w:w="75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8" w:type="dxa"/>
            <w:tcBorders>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1161" w:type="dxa"/>
            <w:gridSpan w:val="2"/>
            <w:vMerge w:val="continue"/>
            <w:tcBorders>
              <w:bottom w:val="single" w:color="auto" w:sz="4" w:space="0"/>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p>
        </w:tc>
        <w:tc>
          <w:tcPr>
            <w:tcW w:w="1065"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Z0075009</w:t>
            </w:r>
          </w:p>
        </w:tc>
        <w:tc>
          <w:tcPr>
            <w:tcW w:w="2454"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法律写作</w:t>
            </w:r>
          </w:p>
        </w:tc>
        <w:tc>
          <w:tcPr>
            <w:tcW w:w="750"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五</w:t>
            </w:r>
          </w:p>
        </w:tc>
        <w:tc>
          <w:tcPr>
            <w:tcW w:w="627"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bCs/>
                <w:color w:val="000000" w:themeColor="text1"/>
                <w:sz w:val="18"/>
                <w:szCs w:val="18"/>
                <w14:textFill>
                  <w14:solidFill>
                    <w14:schemeClr w14:val="tx1"/>
                  </w14:solidFill>
                </w14:textFill>
              </w:rPr>
              <w:t>/</w:t>
            </w:r>
          </w:p>
        </w:tc>
        <w:tc>
          <w:tcPr>
            <w:tcW w:w="669"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3</w:t>
            </w:r>
            <w:r>
              <w:rPr>
                <w:rFonts w:hint="eastAsia" w:ascii="宋体" w:hAnsi="宋体" w:cs="宋体"/>
                <w:color w:val="000000" w:themeColor="text1"/>
                <w:sz w:val="18"/>
                <w:szCs w:val="18"/>
                <w14:textFill>
                  <w14:solidFill>
                    <w14:schemeClr w14:val="tx1"/>
                  </w14:solidFill>
                </w14:textFill>
              </w:rPr>
              <w:t>0</w:t>
            </w:r>
          </w:p>
        </w:tc>
        <w:tc>
          <w:tcPr>
            <w:tcW w:w="490"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2</w:t>
            </w:r>
          </w:p>
        </w:tc>
        <w:tc>
          <w:tcPr>
            <w:tcW w:w="1487"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实务导师</w:t>
            </w:r>
          </w:p>
        </w:tc>
        <w:tc>
          <w:tcPr>
            <w:tcW w:w="668" w:type="dxa"/>
            <w:tcBorders>
              <w:bottom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考查</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Ex>
        <w:trPr>
          <w:trHeight w:val="459" w:hRule="exact"/>
          <w:jc w:val="center"/>
        </w:trPr>
        <w:tc>
          <w:tcPr>
            <w:tcW w:w="11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adjustRightInd w:val="0"/>
              <w:spacing w:before="0" w:beforeAutospacing="0" w:after="0" w:afterAutospacing="0" w:line="200" w:lineRule="exact"/>
              <w:ind w:left="0" w:right="0"/>
              <w:jc w:val="center"/>
              <w:rPr>
                <w:rFonts w:hint="default" w:ascii="宋体" w:hAnsi="宋体" w:eastAsia="宋体" w:cs="宋体"/>
                <w:b/>
                <w:color w:val="000000" w:themeColor="text1"/>
                <w:sz w:val="18"/>
                <w:szCs w:val="18"/>
                <w14:textFill>
                  <w14:solidFill>
                    <w14:schemeClr w14:val="tx1"/>
                  </w14:solidFill>
                </w14:textFill>
              </w:rPr>
            </w:pPr>
            <w:r>
              <w:rPr>
                <w:rFonts w:hint="eastAsia" w:ascii="宋体" w:hAnsi="宋体" w:cs="宋体"/>
                <w:b/>
                <w:color w:val="000000" w:themeColor="text1"/>
                <w:sz w:val="18"/>
                <w:szCs w:val="18"/>
                <w14:textFill>
                  <w14:solidFill>
                    <w14:schemeClr w14:val="tx1"/>
                  </w14:solidFill>
                </w14:textFill>
              </w:rPr>
              <w:t>总学分</w:t>
            </w:r>
          </w:p>
        </w:tc>
        <w:tc>
          <w:tcPr>
            <w:tcW w:w="8210" w:type="dxa"/>
            <w:gridSpan w:val="8"/>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suppressLineNumbers w:val="0"/>
              <w:spacing w:before="0" w:beforeAutospacing="0" w:after="0" w:afterAutospacing="0" w:line="200" w:lineRule="exact"/>
              <w:ind w:left="0" w:right="0"/>
              <w:jc w:val="left"/>
              <w:rPr>
                <w:rFonts w:hint="default" w:ascii="宋体" w:hAnsi="宋体" w:eastAsia="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不低于55学分</w:t>
            </w:r>
          </w:p>
        </w:tc>
      </w:tr>
    </w:tbl>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3000509000000000000"/>
    <w:charset w:val="86"/>
    <w:family w:val="auto"/>
    <w:pitch w:val="default"/>
    <w:sig w:usb0="00000001" w:usb1="080E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261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261</w:t>
                    </w:r>
                    <w:r>
                      <w:rPr>
                        <w:rFonts w:hint="eastAsia" w:ascii="宋体" w:hAnsi="宋体" w:eastAsia="宋体" w:cs="宋体"/>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7"/>
                              <w:rFonts w:asciiTheme="minorEastAsia" w:hAnsiTheme="minorEastAsia"/>
                              <w:sz w:val="21"/>
                              <w:szCs w:val="21"/>
                            </w:rPr>
                          </w:pPr>
                          <w:r>
                            <w:rPr>
                              <w:rStyle w:val="7"/>
                              <w:rFonts w:hint="eastAsia" w:asciiTheme="minorEastAsia" w:hAnsiTheme="minorEastAsia"/>
                              <w:sz w:val="21"/>
                              <w:szCs w:val="21"/>
                            </w:rPr>
                            <w:fldChar w:fldCharType="begin"/>
                          </w:r>
                          <w:r>
                            <w:rPr>
                              <w:rStyle w:val="7"/>
                              <w:rFonts w:hint="eastAsia" w:asciiTheme="minorEastAsia" w:hAnsiTheme="minorEastAsia"/>
                              <w:sz w:val="21"/>
                              <w:szCs w:val="21"/>
                            </w:rPr>
                            <w:instrText xml:space="preserve"> PAGE  \* MERGEFORMAT </w:instrText>
                          </w:r>
                          <w:r>
                            <w:rPr>
                              <w:rStyle w:val="7"/>
                              <w:rFonts w:hint="eastAsia" w:asciiTheme="minorEastAsia" w:hAnsiTheme="minorEastAsia"/>
                              <w:sz w:val="21"/>
                              <w:szCs w:val="21"/>
                            </w:rPr>
                            <w:fldChar w:fldCharType="separate"/>
                          </w:r>
                          <w:r>
                            <w:rPr>
                              <w:rStyle w:val="7"/>
                              <w:rFonts w:asciiTheme="minorEastAsia" w:hAnsiTheme="minorEastAsia"/>
                              <w:sz w:val="21"/>
                              <w:szCs w:val="21"/>
                            </w:rPr>
                            <w:t>281</w:t>
                          </w:r>
                          <w:r>
                            <w:rPr>
                              <w:rStyle w:val="7"/>
                              <w:rFonts w:hint="eastAsia" w:asciiTheme="minorEastAsia" w:hAnsi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rPr>
                        <w:rStyle w:val="7"/>
                        <w:rFonts w:asciiTheme="minorEastAsia" w:hAnsiTheme="minorEastAsia"/>
                        <w:sz w:val="21"/>
                        <w:szCs w:val="21"/>
                      </w:rPr>
                    </w:pPr>
                    <w:r>
                      <w:rPr>
                        <w:rStyle w:val="7"/>
                        <w:rFonts w:hint="eastAsia" w:asciiTheme="minorEastAsia" w:hAnsiTheme="minorEastAsia"/>
                        <w:sz w:val="21"/>
                        <w:szCs w:val="21"/>
                      </w:rPr>
                      <w:fldChar w:fldCharType="begin"/>
                    </w:r>
                    <w:r>
                      <w:rPr>
                        <w:rStyle w:val="7"/>
                        <w:rFonts w:hint="eastAsia" w:asciiTheme="minorEastAsia" w:hAnsiTheme="minorEastAsia"/>
                        <w:sz w:val="21"/>
                        <w:szCs w:val="21"/>
                      </w:rPr>
                      <w:instrText xml:space="preserve"> PAGE  \* MERGEFORMAT </w:instrText>
                    </w:r>
                    <w:r>
                      <w:rPr>
                        <w:rStyle w:val="7"/>
                        <w:rFonts w:hint="eastAsia" w:asciiTheme="minorEastAsia" w:hAnsiTheme="minorEastAsia"/>
                        <w:sz w:val="21"/>
                        <w:szCs w:val="21"/>
                      </w:rPr>
                      <w:fldChar w:fldCharType="separate"/>
                    </w:r>
                    <w:r>
                      <w:rPr>
                        <w:rStyle w:val="7"/>
                        <w:rFonts w:asciiTheme="minorEastAsia" w:hAnsiTheme="minorEastAsia"/>
                        <w:sz w:val="21"/>
                        <w:szCs w:val="21"/>
                      </w:rPr>
                      <w:t>281</w:t>
                    </w:r>
                    <w:r>
                      <w:rPr>
                        <w:rStyle w:val="7"/>
                        <w:rFonts w:hint="eastAsia" w:asciiTheme="minorEastAsia" w:hAnsiTheme="minor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法学学术学位硕士研究生培养方案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全日制法律硕士（非法学）专业学位研究生培养方案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非全日制法律硕士（非法学）专业学位研究生培养方案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全日制法律硕士（法学）专业学位研究生培养方案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right"/>
      <w:rPr>
        <w:rFonts w:ascii="楷体_GB2312" w:eastAsia="楷体_GB2312"/>
        <w:sz w:val="21"/>
        <w:szCs w:val="21"/>
      </w:rPr>
    </w:pPr>
    <w:r>
      <w:rPr>
        <w:rFonts w:hint="eastAsia" w:ascii="楷体_GB2312" w:eastAsia="楷体_GB2312"/>
        <w:sz w:val="21"/>
        <w:szCs w:val="21"/>
      </w:rPr>
      <w:t>非全日制法律硕士（法学）专业学位研究生培养方案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1E5DDB"/>
    <w:rsid w:val="26126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line="560" w:lineRule="exact"/>
      <w:jc w:val="center"/>
      <w:outlineLvl w:val="0"/>
    </w:pPr>
    <w:rPr>
      <w:rFonts w:eastAsia="黑体"/>
      <w:kern w:val="44"/>
      <w:sz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2018-11-08T09:47:57Z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